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4D0234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 Agent Platform 企业级产品门户 PRD</w:t>
      </w:r>
      <w:bookmarkStart w:id="52" w:name="_GoBack"/>
      <w:bookmarkEnd w:id="52"/>
    </w:p>
    <w:p w14:paraId="248D5887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版本更新记录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5AEA412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31F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B9A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750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1AF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更新人</w:t>
            </w:r>
          </w:p>
        </w:tc>
      </w:tr>
      <w:tr w14:paraId="7E1B9130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BB6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ADA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2026-07-08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214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初始开发者门户版本，融合文档与产品门户基础能力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269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 w14:paraId="737D8D9D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3C1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V2.0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74E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2026-07-08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3EA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全面重构定位：切换为企业级客户门户（Customer Portal），对标Red Hat/NVIDIA NGC/KubeSphere/GitLab企业门户体系，新增下载中心、License授权、OpenLab试用、部署中心、兼容矩阵、客户控制台核心企业能力，重构全站信息架构、页面模块、业务流程、技术方案，完全适配企业软件售前/售中/售后全生命周期落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173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</w:tbl>
    <w:p w14:paraId="2955CE9D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一、项目总览</w:t>
      </w:r>
      <w:bookmarkEnd w:id="1"/>
    </w:p>
    <w:p w14:paraId="2F33A7A1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1.1 项目名称</w:t>
      </w:r>
      <w:bookmarkEnd w:id="2"/>
    </w:p>
    <w:p w14:paraId="450785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Agent Platform 企业级统一客户门户（Customer Portal）</w:t>
      </w:r>
    </w:p>
    <w:p w14:paraId="47740281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1.2 核心定位（最终定稿）</w:t>
      </w:r>
      <w:bookmarkEnd w:id="3"/>
    </w:p>
    <w:p w14:paraId="0C5C3B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摒弃通用开发者门户范式，打造</w:t>
      </w:r>
      <w:r>
        <w:rPr>
          <w:rFonts w:ascii="Arial" w:hAnsi="Arial" w:eastAsia="等线" w:cs="Arial"/>
          <w:b/>
          <w:sz w:val="22"/>
        </w:rPr>
        <w:t>企业级AI软件专属客户门户</w:t>
      </w:r>
      <w:r>
        <w:rPr>
          <w:rFonts w:ascii="Arial" w:hAnsi="Arial" w:eastAsia="等线" w:cs="Arial"/>
          <w:sz w:val="22"/>
        </w:rPr>
        <w:t>，对标 Red Hat Customer Portal、NVIDIA NGC、KubeSphere、Harbor、GitLab 企业门户标准。</w:t>
      </w:r>
    </w:p>
    <w:p w14:paraId="28B444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核心定位：</w:t>
      </w:r>
      <w:r>
        <w:rPr>
          <w:rFonts w:ascii="Arial" w:hAnsi="Arial" w:eastAsia="等线" w:cs="Arial"/>
          <w:b/>
          <w:sz w:val="22"/>
        </w:rPr>
        <w:t>集产品展示、版本管理、软件下载、License授权、试用申请、部署运维、兼容查询、文档服务、客户支持、生态市场、控制台管理、运营CMS于一体的企业全生命周期服务门户</w:t>
      </w:r>
      <w:r>
        <w:rPr>
          <w:rFonts w:ascii="Arial" w:hAnsi="Arial" w:eastAsia="等线" w:cs="Arial"/>
          <w:sz w:val="22"/>
        </w:rPr>
        <w:t>。</w:t>
      </w:r>
    </w:p>
    <w:p w14:paraId="22862B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服务链路：</w:t>
      </w:r>
      <w:r>
        <w:rPr>
          <w:rFonts w:ascii="Arial" w:hAnsi="Arial" w:eastAsia="等线" w:cs="Arial"/>
          <w:b/>
          <w:sz w:val="22"/>
        </w:rPr>
        <w:t>售前认知 → 试用申请 → 软件下载 → 部署落地 → 运维使用 → 授权管理 → 售后支持 → 生态复用</w:t>
      </w:r>
    </w:p>
    <w:p w14:paraId="5CF813D2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1.3 目标用户</w:t>
      </w:r>
      <w:bookmarkEnd w:id="4"/>
    </w:p>
    <w:p w14:paraId="14A7166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企业决策者</w:t>
      </w:r>
      <w:r>
        <w:rPr>
          <w:rFonts w:ascii="Arial" w:hAnsi="Arial" w:eastAsia="等线" w:cs="Arial"/>
          <w:sz w:val="22"/>
        </w:rPr>
        <w:t>：了解产品能力、业务场景、版本迭代、商业化方案</w:t>
      </w:r>
    </w:p>
    <w:p w14:paraId="55237117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企业IT运维/架构师</w:t>
      </w:r>
      <w:r>
        <w:rPr>
          <w:rFonts w:ascii="Arial" w:hAnsi="Arial" w:eastAsia="等线" w:cs="Arial"/>
          <w:sz w:val="22"/>
        </w:rPr>
        <w:t>：查询环境兼容、下载部署包、查阅部署运维文档、排查问题</w:t>
      </w:r>
    </w:p>
    <w:p w14:paraId="4BBF9D8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企业开发工程师</w:t>
      </w:r>
      <w:r>
        <w:rPr>
          <w:rFonts w:ascii="Arial" w:hAnsi="Arial" w:eastAsia="等线" w:cs="Arial"/>
          <w:sz w:val="22"/>
        </w:rPr>
        <w:t>：查看API文档、复用市场模板、对接开发能力</w:t>
      </w:r>
    </w:p>
    <w:p w14:paraId="3B703602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企业管理员</w:t>
      </w:r>
      <w:r>
        <w:rPr>
          <w:rFonts w:ascii="Arial" w:hAnsi="Arial" w:eastAsia="等线" w:cs="Arial"/>
          <w:sz w:val="22"/>
        </w:rPr>
        <w:t>：管理License授权、机器绑定、续期升级、团队权限</w:t>
      </w:r>
    </w:p>
    <w:p w14:paraId="1A76DEE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潜在客户</w:t>
      </w:r>
      <w:r>
        <w:rPr>
          <w:rFonts w:ascii="Arial" w:hAnsi="Arial" w:eastAsia="等线" w:cs="Arial"/>
          <w:sz w:val="22"/>
        </w:rPr>
        <w:t>：申请试用License、了解产品版本、咨询商务服务</w:t>
      </w:r>
    </w:p>
    <w:p w14:paraId="5B8FB2AB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1.4 核心业务目标</w:t>
      </w:r>
      <w:bookmarkEnd w:id="5"/>
    </w:p>
    <w:p w14:paraId="59B3F60F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30秒新人认知：新访客快速知晓「产品是什么、在哪下、怎么装、怎么试用、文档在哪」</w:t>
      </w:r>
    </w:p>
    <w:p w14:paraId="581D6F1A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标准化企业交付：统一软件下载、部署指南、授权申请、运维服务入口</w:t>
      </w:r>
    </w:p>
    <w:p w14:paraId="5CBD43D5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降低交付成本：减少人工答疑、部署指导、License线下审核成本</w:t>
      </w:r>
    </w:p>
    <w:p w14:paraId="74BED842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沉淀企业生态：依托Marketplace实现模板、插件、智能体复用沉淀</w:t>
      </w:r>
    </w:p>
    <w:p w14:paraId="71C95680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全流程自主化：实现试用申请、授权管理、软件下载、工单提交用户自助闭环</w:t>
      </w:r>
    </w:p>
    <w:p w14:paraId="72A9FEDE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1.5 技术架构方案（最终落地方案）</w:t>
      </w:r>
      <w:bookmarkEnd w:id="6"/>
    </w:p>
    <w:p w14:paraId="35EFCD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采用企业门户最优技术栈，兼顾颜值、文档能力、开发效率、后期运维：</w:t>
      </w:r>
    </w:p>
    <w:p w14:paraId="402D20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Next.js + Nextra + shadcn/ui + Tailwind + 权限认证 + 自定义CMS</w:t>
      </w:r>
    </w:p>
    <w:p w14:paraId="46140D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整体架构拆分：</w:t>
      </w:r>
    </w:p>
    <w:p w14:paraId="458500D6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Portal 前台门户（首页、产品、下载、License、市场、支持）</w:t>
      </w:r>
    </w:p>
    <w:p w14:paraId="637C8376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Docs 文档中心（Nextra原生能力，支持多版本、全文检索、Markdown、Mermaid、OpenAPI）</w:t>
      </w:r>
    </w:p>
    <w:p w14:paraId="6B83534E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Blog 资讯博客（版本更新、技术干货、行业案例）</w:t>
      </w:r>
    </w:p>
    <w:p w14:paraId="261C8AD7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OpenLab 试用授权中心</w:t>
      </w:r>
    </w:p>
    <w:p w14:paraId="532C9062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Download 企业下载中心</w:t>
      </w:r>
    </w:p>
    <w:p w14:paraId="537A1767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Customer Console 客户控制台（登录后）</w:t>
      </w:r>
    </w:p>
    <w:p w14:paraId="4D3EA1D6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CMS 运营后台（内容配置、审核、版本管理、工单管理）</w:t>
      </w:r>
    </w:p>
    <w:p w14:paraId="4D2E2CC7">
      <w:pPr>
        <w:spacing w:before="380" w:after="140" w:line="288" w:lineRule="auto"/>
        <w:ind w:left="0"/>
        <w:jc w:val="left"/>
        <w:outlineLvl w:val="0"/>
      </w:pPr>
      <w:bookmarkStart w:id="7" w:name="heading_7"/>
      <w:r>
        <w:rPr>
          <w:rFonts w:ascii="Arial" w:hAnsi="Arial" w:eastAsia="等线" w:cs="Arial"/>
          <w:b/>
          <w:sz w:val="36"/>
        </w:rPr>
        <w:t>二、全站信息架构（最终企业版Sitemap）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7136F4F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E50C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Portal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首页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产品中心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产品介绍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产品矩阵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版本管理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Release Note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Roadmap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下载中心（核心高频）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最新版本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安装包分类（Linux/Windows/ARM/x86）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容器镜像（Docker/Helm）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离线安装包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SDK工具包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OpenLab 试用授权中心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试用申请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实名认证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License获取指引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License 管理中心（登录后）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授权状态查看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续期/升级/解绑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机器绑定管理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授权记录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文档中心（核心）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快速开始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部署指南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升级手册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运维手册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API文档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功能手册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GPU/硬件适配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常见问题FAQ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环境兼容矩阵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硬件配置要求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GPU适配列表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操作系统兼容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浏览器兼容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依赖组件兼容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Marketplace 生态市场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Agent应用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Workflow工作流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插件工具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提示词模板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知识库模板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Support 客户支持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帮助中心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工单提交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Bug反馈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社群支持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商务咨询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Blog 资讯中心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版本更新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技术教程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行业案例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产品动态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Console 客户控制台（登录专属）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我的License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我的下载记录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我的工单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我的Agent/模板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API密钥管理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团队管理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订单与账单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CMS 运营后台（内部管理员）</w:t>
            </w:r>
          </w:p>
        </w:tc>
      </w:tr>
    </w:tbl>
    <w:p w14:paraId="05EBA590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三、首页详细PRD（企业门户核心落地页）</w:t>
      </w:r>
      <w:bookmarkEnd w:id="8"/>
    </w:p>
    <w:p w14:paraId="375DEBCA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3.1 页面目标</w:t>
      </w:r>
      <w:bookmarkEnd w:id="9"/>
    </w:p>
    <w:p w14:paraId="7C41B5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新用户30秒完成核心认知：</w:t>
      </w:r>
      <w:r>
        <w:rPr>
          <w:rFonts w:ascii="Arial" w:hAnsi="Arial" w:eastAsia="等线" w:cs="Arial"/>
          <w:b/>
          <w:sz w:val="22"/>
        </w:rPr>
        <w:t>产品定位、下载入口、部署方式、试用申请、文档入口、商务对接</w:t>
      </w:r>
      <w:r>
        <w:rPr>
          <w:rFonts w:ascii="Arial" w:hAnsi="Arial" w:eastAsia="等线" w:cs="Arial"/>
          <w:sz w:val="22"/>
        </w:rPr>
        <w:t>，实现售前快速转化、售后快速赋能。</w:t>
      </w:r>
    </w:p>
    <w:p w14:paraId="38A31615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3.2 首屏Hero模块（100vh）</w:t>
      </w:r>
      <w:bookmarkEnd w:id="10"/>
    </w:p>
    <w:p w14:paraId="2325A1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主标题</w:t>
      </w:r>
      <w:r>
        <w:rPr>
          <w:rFonts w:ascii="Arial" w:hAnsi="Arial" w:eastAsia="等线" w:cs="Arial"/>
          <w:sz w:val="22"/>
        </w:rPr>
        <w:t>：AI Agent Platform</w:t>
      </w:r>
    </w:p>
    <w:p w14:paraId="2C51E0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副标题</w:t>
      </w:r>
      <w:r>
        <w:rPr>
          <w:rFonts w:ascii="Arial" w:hAnsi="Arial" w:eastAsia="等线" w:cs="Arial"/>
          <w:sz w:val="22"/>
        </w:rPr>
        <w:t>：Build Enterprise AI Faster</w:t>
      </w:r>
    </w:p>
    <w:p w14:paraId="729152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核心说明</w:t>
      </w:r>
      <w:r>
        <w:rPr>
          <w:rFonts w:ascii="Arial" w:hAnsi="Arial" w:eastAsia="等线" w:cs="Arial"/>
          <w:sz w:val="22"/>
        </w:rPr>
        <w:t>：企业级全链路AI智能体搭建、部署、运维统一平台，赋能企业快速落地私有化AI应用</w:t>
      </w:r>
    </w:p>
    <w:p w14:paraId="00389F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核心按钮</w:t>
      </w:r>
      <w:r>
        <w:rPr>
          <w:rFonts w:ascii="Arial" w:hAnsi="Arial" w:eastAsia="等线" w:cs="Arial"/>
          <w:sz w:val="22"/>
        </w:rPr>
        <w:t>：</w:t>
      </w:r>
    </w:p>
    <w:p w14:paraId="33EF4BE9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主按钮：立即体验（跳转控制台/快速部署文档）</w:t>
      </w:r>
    </w:p>
    <w:p w14:paraId="46D14E79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次按钮：申请OpenLab试用（跳转试用申请页）</w:t>
      </w:r>
    </w:p>
    <w:p w14:paraId="462676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右侧展示</w:t>
      </w:r>
      <w:r>
        <w:rPr>
          <w:rFonts w:ascii="Arial" w:hAnsi="Arial" w:eastAsia="等线" w:cs="Arial"/>
          <w:sz w:val="22"/>
        </w:rPr>
        <w:t>：产品整体架构图 / Agent Builder核心流程GIF动效（静态架构图优先，保证加载速度）</w:t>
      </w:r>
    </w:p>
    <w:p w14:paraId="535E47AF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3.3 四大核心快捷入口（首页核心转化区）</w:t>
      </w:r>
      <w:bookmarkEnd w:id="11"/>
    </w:p>
    <w:p w14:paraId="79F222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首屏下方固定四大高频功能入口，解决企业用户核心诉求：</w:t>
      </w:r>
    </w:p>
    <w:p w14:paraId="273822AE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📖 官方文档：跳转文档中心快速入门板块</w:t>
      </w:r>
    </w:p>
    <w:p w14:paraId="385BB68D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⬇ 软件下载：跳转下载中心最新版本页</w:t>
      </w:r>
    </w:p>
    <w:p w14:paraId="5AF20C02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🔑 试用授权：跳转OpenLab试用申请</w:t>
      </w:r>
    </w:p>
    <w:p w14:paraId="3176CA62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☎ 商务咨询：弹窗表单/企业微信对接</w:t>
      </w:r>
    </w:p>
    <w:p w14:paraId="77DC49CE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3.4 首页其余辅助模块</w:t>
      </w:r>
      <w:bookmarkEnd w:id="12"/>
    </w:p>
    <w:p w14:paraId="2F838171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产品核心能力简介：极简展示企业级AI Agent、工作流、知识库、可观测能力</w:t>
      </w:r>
    </w:p>
    <w:p w14:paraId="4E68A529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最新版本公告：展示当前稳定版本、更新时间、核心更新亮点</w:t>
      </w:r>
    </w:p>
    <w:p w14:paraId="0534DE85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客户案例：极简企业Logo展示，建立品牌信任</w:t>
      </w:r>
    </w:p>
    <w:p w14:paraId="138D0D94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底部CTA：企业私有化部署咨询、技术支持入口</w:t>
      </w:r>
    </w:p>
    <w:p w14:paraId="4637FD7E">
      <w:pPr>
        <w:spacing w:before="380" w:after="140" w:line="288" w:lineRule="auto"/>
        <w:ind w:left="0"/>
        <w:jc w:val="left"/>
        <w:outlineLvl w:val="0"/>
      </w:pPr>
      <w:bookmarkStart w:id="13" w:name="heading_13"/>
      <w:r>
        <w:rPr>
          <w:rFonts w:ascii="Arial" w:hAnsi="Arial" w:eastAsia="等线" w:cs="Arial"/>
          <w:b/>
          <w:sz w:val="36"/>
        </w:rPr>
        <w:t>四、产品中心模块PRD</w:t>
      </w:r>
      <w:bookmarkEnd w:id="13"/>
    </w:p>
    <w:p w14:paraId="292A2BF7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4.1 产品介绍页</w:t>
      </w:r>
      <w:bookmarkEnd w:id="14"/>
    </w:p>
    <w:p w14:paraId="7C8CDC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聚焦企业用户认知，展示产品定位、核心功能、技术模块、适配模型、行业应用场景、客户价值，无冗余营销内容。</w:t>
      </w:r>
    </w:p>
    <w:p w14:paraId="5A8E2704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4.2 产品矩阵（核心模块详情）</w:t>
      </w:r>
      <w:bookmarkEnd w:id="15"/>
    </w:p>
    <w:p w14:paraId="544F2C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六大核心企业级模块，每个模块独立详情页，包含能力介绍、适用场景、使用指南、关联文档：</w:t>
      </w:r>
    </w:p>
    <w:p w14:paraId="2366F769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Agent Studio：智能体可视化搭建、编排、运行管理</w:t>
      </w:r>
    </w:p>
    <w:p w14:paraId="7ACB8B42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Knowledge Base：企业私有化知识库、文档解析、向量检索</w:t>
      </w:r>
    </w:p>
    <w:p w14:paraId="7819196A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Workflow：企业级自动化工作流编排、任务调度</w:t>
      </w:r>
    </w:p>
    <w:p w14:paraId="69D87794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Model Gateway：模型统一接入、负载均衡、模型适配</w:t>
      </w:r>
    </w:p>
    <w:p w14:paraId="0544486E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Agent Runtime：智能体运行时、资源管控、任务执行</w:t>
      </w:r>
    </w:p>
    <w:p w14:paraId="1A7D3476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Observability：全链路监控、日志审计、性能观测</w:t>
      </w:r>
    </w:p>
    <w:p w14:paraId="2EC91330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4.3 版本管理体系</w:t>
      </w:r>
      <w:bookmarkEnd w:id="16"/>
    </w:p>
    <w:p w14:paraId="393081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统一管理所有正式版本，支持版本追溯、更新查看、包体下载：</w:t>
      </w:r>
    </w:p>
    <w:p w14:paraId="6263744C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版本列表：v1.0 / v1.1 / v2.0 等所有稳定版本</w:t>
      </w:r>
    </w:p>
    <w:p w14:paraId="140A7932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Release Note：对应版本更新日志、功能新增、问题修复、性能优化</w:t>
      </w:r>
    </w:p>
    <w:p w14:paraId="364D4DB8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版本升级说明：跨版本升级步骤、注意事项、数据迁移方案</w:t>
      </w:r>
    </w:p>
    <w:p w14:paraId="712FC28B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Roadmap：产品迭代规划、待上线能力、版本预告</w:t>
      </w:r>
    </w:p>
    <w:p w14:paraId="6C8979BA">
      <w:pPr>
        <w:spacing w:before="380" w:after="140" w:line="288" w:lineRule="auto"/>
        <w:ind w:left="0"/>
        <w:jc w:val="left"/>
        <w:outlineLvl w:val="0"/>
      </w:pPr>
      <w:bookmarkStart w:id="17" w:name="heading_17"/>
      <w:r>
        <w:rPr>
          <w:rFonts w:ascii="Arial" w:hAnsi="Arial" w:eastAsia="等线" w:cs="Arial"/>
          <w:b/>
          <w:sz w:val="36"/>
        </w:rPr>
        <w:t>五、下载中心（企业门户最高频核心模块）</w:t>
      </w:r>
      <w:bookmarkEnd w:id="17"/>
    </w:p>
    <w:p w14:paraId="744EB44D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5.1 页面顶部核心区</w:t>
      </w:r>
      <w:bookmarkEnd w:id="18"/>
    </w:p>
    <w:p w14:paraId="27ECAA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固定展示当前</w:t>
      </w:r>
      <w:r>
        <w:rPr>
          <w:rFonts w:ascii="Arial" w:hAnsi="Arial" w:eastAsia="等线" w:cs="Arial"/>
          <w:b/>
          <w:sz w:val="22"/>
        </w:rPr>
        <w:t>最新稳定版本</w:t>
      </w:r>
      <w:r>
        <w:rPr>
          <w:rFonts w:ascii="Arial" w:hAnsi="Arial" w:eastAsia="等线" w:cs="Arial"/>
          <w:sz w:val="22"/>
        </w:rPr>
        <w:t>，包含版本号、发布日期、核心更新亮点、一键下载入口。</w:t>
      </w:r>
    </w:p>
    <w:p w14:paraId="566D2A89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5.2 下载资源分类体系</w:t>
      </w:r>
      <w:bookmarkEnd w:id="19"/>
    </w:p>
    <w:p w14:paraId="037A63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按企业部署场景、硬件架构、部署方式精准分类：</w:t>
      </w:r>
    </w:p>
    <w:p w14:paraId="21735FA4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系统架构：x86 / ARM</w:t>
      </w:r>
    </w:p>
    <w:p w14:paraId="14F710F9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部署模式：Linux安装包 / Windows安装包 / Docker镜像 / Helm部署包 / 离线部署包</w:t>
      </w:r>
    </w:p>
    <w:p w14:paraId="7C0BA0A4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工具资源：全套SDK开发工具包</w:t>
      </w:r>
    </w:p>
    <w:p w14:paraId="7EE5D19F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5.3 单个下载项标准化信息</w:t>
      </w:r>
      <w:bookmarkEnd w:id="20"/>
    </w:p>
    <w:p w14:paraId="1D3A2D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每一个安装包/镜像统一展示完整信息，满足企业运维合规要求：</w:t>
      </w:r>
    </w:p>
    <w:p w14:paraId="5D853624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适配版本号、正式发布日期、文件大小</w:t>
      </w:r>
    </w:p>
    <w:p w14:paraId="187A821E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SHA256校验码（用于企业文件校验、防篡改）</w:t>
      </w:r>
    </w:p>
    <w:p w14:paraId="58DE6D91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版本更新说明、适配环境、已知兼容问题</w:t>
      </w:r>
    </w:p>
    <w:p w14:paraId="12882F41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独立下载按钮、历史版本回溯入口</w:t>
      </w:r>
    </w:p>
    <w:p w14:paraId="776E5862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5.4 右侧依赖环境说明</w:t>
      </w:r>
      <w:bookmarkEnd w:id="21"/>
    </w:p>
    <w:p w14:paraId="7A1305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固定展示当前版本所需依赖，方便运维提前筹备环境：</w:t>
      </w:r>
    </w:p>
    <w:p w14:paraId="19B58B1B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容器环境：Docker版本、Kubernetes版本</w:t>
      </w:r>
    </w:p>
    <w:p w14:paraId="6372BD95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硬件驱动：GPU Driver、CUDA适配版本</w:t>
      </w:r>
    </w:p>
    <w:p w14:paraId="2C855F32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软件依赖：Python、数据库、中间件基础版本要求</w:t>
      </w:r>
    </w:p>
    <w:p w14:paraId="419689E9">
      <w:pPr>
        <w:spacing w:before="380" w:after="140" w:line="288" w:lineRule="auto"/>
        <w:ind w:left="0"/>
        <w:jc w:val="left"/>
        <w:outlineLvl w:val="0"/>
      </w:pPr>
      <w:bookmarkStart w:id="22" w:name="heading_22"/>
      <w:r>
        <w:rPr>
          <w:rFonts w:ascii="Arial" w:hAnsi="Arial" w:eastAsia="等线" w:cs="Arial"/>
          <w:b/>
          <w:sz w:val="36"/>
        </w:rPr>
        <w:t>六、OpenLab 试用授权中心（企业获客核心）</w:t>
      </w:r>
      <w:bookmarkEnd w:id="22"/>
    </w:p>
    <w:p w14:paraId="3F0234F3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6.1 核心定位</w:t>
      </w:r>
      <w:bookmarkEnd w:id="23"/>
    </w:p>
    <w:p w14:paraId="141894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面向潜在企业客户的</w:t>
      </w:r>
      <w:r>
        <w:rPr>
          <w:rFonts w:ascii="Arial" w:hAnsi="Arial" w:eastAsia="等线" w:cs="Arial"/>
          <w:b/>
          <w:sz w:val="22"/>
        </w:rPr>
        <w:t>自助试用License申请平台</w:t>
      </w:r>
      <w:r>
        <w:rPr>
          <w:rFonts w:ascii="Arial" w:hAnsi="Arial" w:eastAsia="等线" w:cs="Arial"/>
          <w:sz w:val="22"/>
        </w:rPr>
        <w:t>，实现无人值守自助申请、后台人工审核、自动下发试用授权，替代线下对接流程。</w:t>
      </w:r>
    </w:p>
    <w:p w14:paraId="39D97637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6.2 完整申请流程</w:t>
      </w:r>
      <w:bookmarkEnd w:id="24"/>
    </w:p>
    <w:p w14:paraId="3AD403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访客注册 → 账号实名认证 → 填写企业试用信息 → 提交审核 → 后台审核通过 → 自动下发90天试用License → 下载部署软件绑定授权</w:t>
      </w:r>
    </w:p>
    <w:p w14:paraId="5331D65B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6.3 申请表单必填项</w:t>
      </w:r>
      <w:bookmarkEnd w:id="25"/>
    </w:p>
    <w:p w14:paraId="4615DCF9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企业名称、联系人、联系邮箱、联系电话</w:t>
      </w:r>
    </w:p>
    <w:p w14:paraId="5F72CBBA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试用场景、业务用途、预计使用规模</w:t>
      </w:r>
    </w:p>
    <w:p w14:paraId="1E40B348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硬件配置：GPU型号、机器数量、服务器配置</w:t>
      </w:r>
    </w:p>
    <w:p w14:paraId="328B089F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试用周期需求</w:t>
      </w:r>
    </w:p>
    <w:p w14:paraId="20918E33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6.4 后台管理能力</w:t>
      </w:r>
      <w:bookmarkEnd w:id="26"/>
    </w:p>
    <w:p w14:paraId="709B5AE5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试用申请列表查看、审核通过/驳回</w:t>
      </w:r>
    </w:p>
    <w:p w14:paraId="438F0EDA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License 手动生成、延期、禁用、重新下发</w:t>
      </w:r>
    </w:p>
    <w:p w14:paraId="3FB3608C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试用数据统计、线索沉淀、客户跟进记录</w:t>
      </w:r>
    </w:p>
    <w:p w14:paraId="2A7A37F0">
      <w:pPr>
        <w:spacing w:before="380" w:after="140" w:line="288" w:lineRule="auto"/>
        <w:ind w:left="0"/>
        <w:jc w:val="left"/>
        <w:outlineLvl w:val="0"/>
      </w:pPr>
      <w:bookmarkStart w:id="27" w:name="heading_27"/>
      <w:r>
        <w:rPr>
          <w:rFonts w:ascii="Arial" w:hAnsi="Arial" w:eastAsia="等线" w:cs="Arial"/>
          <w:b/>
          <w:sz w:val="36"/>
        </w:rPr>
        <w:t>七、License 管理中心（登录后企业专属）</w:t>
      </w:r>
      <w:bookmarkEnd w:id="27"/>
    </w:p>
    <w:p w14:paraId="2671E6C6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7.1 核心定位</w:t>
      </w:r>
      <w:bookmarkEnd w:id="28"/>
    </w:p>
    <w:p w14:paraId="5FF44F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企业用户自助授权管理后台，实现License全生命周期自主管理，无需人工介入。</w:t>
      </w:r>
    </w:p>
    <w:p w14:paraId="05C28E72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7.2 核心展示内容</w:t>
      </w:r>
      <w:bookmarkEnd w:id="29"/>
    </w:p>
    <w:p w14:paraId="4F041E50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当前有效License列表、授权状态、有效期起止时间</w:t>
      </w:r>
    </w:p>
    <w:p w14:paraId="7A13499D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已绑定机器信息、授权节点数量、剩余授权额度</w:t>
      </w:r>
    </w:p>
    <w:p w14:paraId="1B3E285E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到期自动提醒、过期预警通知</w:t>
      </w:r>
    </w:p>
    <w:p w14:paraId="3BB6FC89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7.3 核心操作能力</w:t>
      </w:r>
      <w:bookmarkEnd w:id="30"/>
    </w:p>
    <w:p w14:paraId="62D74A7C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License续期、商业版升级申请</w:t>
      </w:r>
    </w:p>
    <w:p w14:paraId="31E7A7FB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机器解绑、重新绑定、授权重置</w:t>
      </w:r>
    </w:p>
    <w:p w14:paraId="07342E4C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授权文件下载、授权记录查询导出</w:t>
      </w:r>
    </w:p>
    <w:p w14:paraId="71CBF36B">
      <w:pPr>
        <w:spacing w:before="380" w:after="140" w:line="288" w:lineRule="auto"/>
        <w:ind w:left="0"/>
        <w:jc w:val="left"/>
        <w:outlineLvl w:val="0"/>
      </w:pPr>
      <w:bookmarkStart w:id="31" w:name="heading_31"/>
      <w:r>
        <w:rPr>
          <w:rFonts w:ascii="Arial" w:hAnsi="Arial" w:eastAsia="等线" w:cs="Arial"/>
          <w:b/>
          <w:sz w:val="36"/>
        </w:rPr>
        <w:t>八、文档中心（全站核心核心）</w:t>
      </w:r>
      <w:bookmarkEnd w:id="31"/>
    </w:p>
    <w:p w14:paraId="3E2C5EC7">
      <w:pPr>
        <w:spacing w:before="320" w:after="120" w:line="288" w:lineRule="auto"/>
        <w:ind w:left="0"/>
        <w:jc w:val="left"/>
        <w:outlineLvl w:val="1"/>
      </w:pPr>
      <w:bookmarkStart w:id="32" w:name="heading_32"/>
      <w:r>
        <w:rPr>
          <w:rFonts w:ascii="Arial" w:hAnsi="Arial" w:eastAsia="等线" w:cs="Arial"/>
          <w:b/>
          <w:sz w:val="32"/>
        </w:rPr>
        <w:t>8.1 技术底座</w:t>
      </w:r>
      <w:bookmarkEnd w:id="32"/>
    </w:p>
    <w:p w14:paraId="7FBFB5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 Nextra 构建，原生支持企业级文档能力：多版本管理、全文检索、Markdown、Mermaid架构图、OpenAPI接口渲染、代码高亮、PDF导出。</w:t>
      </w:r>
    </w:p>
    <w:p w14:paraId="1E0EDB04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8.2 页面布局规范</w:t>
      </w:r>
      <w:bookmarkEnd w:id="33"/>
    </w:p>
    <w:p w14:paraId="7407C37A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顶部：全局搜索框、文档版本切换、语言切换</w:t>
      </w:r>
    </w:p>
    <w:p w14:paraId="15529436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左侧：树形目录导航（固定悬浮）</w:t>
      </w:r>
    </w:p>
    <w:p w14:paraId="241D21A3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右侧：正文渲染区、目录锚点、上一篇/下一篇、代码复制、PDF导出、问题反馈</w:t>
      </w:r>
    </w:p>
    <w:p w14:paraId="6047DFB2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8.3 文档核心目录体系（企业落地导向）</w:t>
      </w:r>
      <w:bookmarkEnd w:id="34"/>
    </w:p>
    <w:p w14:paraId="2739D092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快速开始：新手入门、快速部署、快速体验</w:t>
      </w:r>
    </w:p>
    <w:p w14:paraId="52425DCF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部署指南：单机部署、集群部署、离线部署、HA高可用部署</w:t>
      </w:r>
    </w:p>
    <w:p w14:paraId="454FCEEE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升级手册：版本升级步骤、数据迁移、跨版本兼容</w:t>
      </w:r>
    </w:p>
    <w:p w14:paraId="1DD0308F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运维手册：日常运维、日志查看、故障排查、性能调优</w:t>
      </w:r>
    </w:p>
    <w:p w14:paraId="68EB49C6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API文档：全量接口说明、调试示例、错误码</w:t>
      </w:r>
    </w:p>
    <w:p w14:paraId="36E1A3FF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硬件与GPU适配：显卡适配、算力调优、驱动安装</w:t>
      </w:r>
    </w:p>
    <w:p w14:paraId="46591C19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FAQ：高频问题、报错解决方案、兼容问题汇总</w:t>
      </w:r>
    </w:p>
    <w:p w14:paraId="0A2BCE1E">
      <w:pPr>
        <w:spacing w:before="380" w:after="140" w:line="288" w:lineRule="auto"/>
        <w:ind w:left="0"/>
        <w:jc w:val="left"/>
        <w:outlineLvl w:val="0"/>
      </w:pPr>
      <w:bookmarkStart w:id="35" w:name="heading_35"/>
      <w:r>
        <w:rPr>
          <w:rFonts w:ascii="Arial" w:hAnsi="Arial" w:eastAsia="等线" w:cs="Arial"/>
          <w:b/>
          <w:sz w:val="36"/>
        </w:rPr>
        <w:t>九、独立部署中心模块</w:t>
      </w:r>
      <w:bookmarkEnd w:id="35"/>
    </w:p>
    <w:p w14:paraId="388C4E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从文档独立拆分高频部署能力，配套完整架构图与分步教程，适配企业不同部署场景：</w:t>
      </w:r>
    </w:p>
    <w:p w14:paraId="45E7276E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单机部署</w:t>
      </w:r>
      <w:r>
        <w:rPr>
          <w:rFonts w:ascii="Arial" w:hAnsi="Arial" w:eastAsia="等线" w:cs="Arial"/>
          <w:sz w:val="22"/>
        </w:rPr>
        <w:t>：Docker 快速部署、Docker Compose 部署教程</w:t>
      </w:r>
    </w:p>
    <w:p w14:paraId="10283005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集群部署</w:t>
      </w:r>
      <w:r>
        <w:rPr>
          <w:rFonts w:ascii="Arial" w:hAnsi="Arial" w:eastAsia="等线" w:cs="Arial"/>
          <w:sz w:val="22"/>
        </w:rPr>
        <w:t>：Kubernetes 集群部署、Helm 快速安装</w:t>
      </w:r>
    </w:p>
    <w:p w14:paraId="5949279F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离线部署</w:t>
      </w:r>
      <w:r>
        <w:rPr>
          <w:rFonts w:ascii="Arial" w:hAnsi="Arial" w:eastAsia="等线" w:cs="Arial"/>
          <w:sz w:val="22"/>
        </w:rPr>
        <w:t>：内网离线包部署、依赖离线安装方案</w:t>
      </w:r>
    </w:p>
    <w:p w14:paraId="23B65C97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企业高可用部署</w:t>
      </w:r>
      <w:r>
        <w:rPr>
          <w:rFonts w:ascii="Arial" w:hAnsi="Arial" w:eastAsia="等线" w:cs="Arial"/>
          <w:sz w:val="22"/>
        </w:rPr>
        <w:t>：多节点集群、HA架构、GPU集群适配、存储/数据库/Redis/MQ 中间件适配方案，配套完整企业架构图</w:t>
      </w:r>
    </w:p>
    <w:p w14:paraId="56C42421">
      <w:pPr>
        <w:spacing w:before="380" w:after="140" w:line="288" w:lineRule="auto"/>
        <w:ind w:left="0"/>
        <w:jc w:val="left"/>
        <w:outlineLvl w:val="0"/>
      </w:pPr>
      <w:bookmarkStart w:id="36" w:name="heading_36"/>
      <w:r>
        <w:rPr>
          <w:rFonts w:ascii="Arial" w:hAnsi="Arial" w:eastAsia="等线" w:cs="Arial"/>
          <w:b/>
          <w:sz w:val="36"/>
        </w:rPr>
        <w:t>十、环境兼容矩阵（企业刚需模块）</w:t>
      </w:r>
      <w:bookmarkEnd w:id="36"/>
    </w:p>
    <w:p w14:paraId="605660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解决企业运维环境适配痛点，标准化全维度兼容参数，做成可视化矩阵表格，清晰直观：</w:t>
      </w:r>
    </w:p>
    <w:p w14:paraId="755FA86E">
      <w:pPr>
        <w:spacing w:before="320" w:after="120" w:line="288" w:lineRule="auto"/>
        <w:ind w:left="0"/>
        <w:jc w:val="left"/>
        <w:outlineLvl w:val="1"/>
      </w:pPr>
      <w:bookmarkStart w:id="37" w:name="heading_37"/>
      <w:r>
        <w:rPr>
          <w:rFonts w:ascii="Arial" w:hAnsi="Arial" w:eastAsia="等线" w:cs="Arial"/>
          <w:b/>
          <w:sz w:val="32"/>
        </w:rPr>
        <w:t>10.1 硬件兼容</w:t>
      </w:r>
      <w:bookmarkEnd w:id="37"/>
    </w:p>
    <w:p w14:paraId="3EEF63DF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CPU配置：4C/8C/16C 最低&amp;推荐配置</w:t>
      </w:r>
    </w:p>
    <w:p w14:paraId="59AE89E3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GPU适配：4090/A100/H20/L20/H100 全系列适配说明、算力要求</w:t>
      </w:r>
    </w:p>
    <w:p w14:paraId="53F2901A">
      <w:pPr>
        <w:spacing w:before="320" w:after="120" w:line="288" w:lineRule="auto"/>
        <w:ind w:left="0"/>
        <w:jc w:val="left"/>
        <w:outlineLvl w:val="1"/>
      </w:pPr>
      <w:bookmarkStart w:id="38" w:name="heading_38"/>
      <w:r>
        <w:rPr>
          <w:rFonts w:ascii="Arial" w:hAnsi="Arial" w:eastAsia="等线" w:cs="Arial"/>
          <w:b/>
          <w:sz w:val="32"/>
        </w:rPr>
        <w:t>10.2 软件环境兼容</w:t>
      </w:r>
      <w:bookmarkEnd w:id="38"/>
    </w:p>
    <w:p w14:paraId="4F1EA57B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操作系统：Ubuntu、Rocky、CentOS、RHEL 各版本适配</w:t>
      </w:r>
    </w:p>
    <w:p w14:paraId="5D616317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浏览器：Chrome、Edge、Firefox 支持版本</w:t>
      </w:r>
    </w:p>
    <w:p w14:paraId="11594E84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数据库：MySQL、PostgreSQL、Redis 适配版本</w:t>
      </w:r>
    </w:p>
    <w:p w14:paraId="44BF9A2D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容器/中间件：Docker、K8s、CUDA 适配版本清单</w:t>
      </w:r>
    </w:p>
    <w:p w14:paraId="518D63BC">
      <w:pPr>
        <w:spacing w:before="380" w:after="140" w:line="288" w:lineRule="auto"/>
        <w:ind w:left="0"/>
        <w:jc w:val="left"/>
        <w:outlineLvl w:val="0"/>
      </w:pPr>
      <w:bookmarkStart w:id="39" w:name="heading_39"/>
      <w:r>
        <w:rPr>
          <w:rFonts w:ascii="Arial" w:hAnsi="Arial" w:eastAsia="等线" w:cs="Arial"/>
          <w:b/>
          <w:sz w:val="36"/>
        </w:rPr>
        <w:t>十一、Marketplace 生态市场</w:t>
      </w:r>
      <w:bookmarkEnd w:id="39"/>
    </w:p>
    <w:p w14:paraId="61E92888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b/>
          <w:sz w:val="32"/>
        </w:rPr>
        <w:t>11.1 定位调整</w:t>
      </w:r>
      <w:bookmarkEnd w:id="40"/>
    </w:p>
    <w:p w14:paraId="2931CF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服务企业用户落地复用，聚焦「开箱即用、可私有化部署」的企业级模板与应用。</w:t>
      </w:r>
    </w:p>
    <w:p w14:paraId="1962F4C9">
      <w:pPr>
        <w:spacing w:before="320" w:after="120" w:line="288" w:lineRule="auto"/>
        <w:ind w:left="0"/>
        <w:jc w:val="left"/>
        <w:outlineLvl w:val="1"/>
      </w:pPr>
      <w:bookmarkStart w:id="41" w:name="heading_41"/>
      <w:r>
        <w:rPr>
          <w:rFonts w:ascii="Arial" w:hAnsi="Arial" w:eastAsia="等线" w:cs="Arial"/>
          <w:b/>
          <w:sz w:val="32"/>
        </w:rPr>
        <w:t>11.2 资源分类</w:t>
      </w:r>
      <w:bookmarkEnd w:id="41"/>
    </w:p>
    <w:p w14:paraId="1C672A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Agent应用、Workflow工作流、插件工具、Prompt模板、知识库模板</w:t>
      </w:r>
    </w:p>
    <w:p w14:paraId="140E40CF">
      <w:pPr>
        <w:spacing w:before="320" w:after="120" w:line="288" w:lineRule="auto"/>
        <w:ind w:left="0"/>
        <w:jc w:val="left"/>
        <w:outlineLvl w:val="1"/>
      </w:pPr>
      <w:bookmarkStart w:id="42" w:name="heading_42"/>
      <w:r>
        <w:rPr>
          <w:rFonts w:ascii="Arial" w:hAnsi="Arial" w:eastAsia="等线" w:cs="Arial"/>
          <w:b/>
          <w:sz w:val="32"/>
        </w:rPr>
        <w:t>11.3 核心功能</w:t>
      </w:r>
      <w:bookmarkEnd w:id="42"/>
    </w:p>
    <w:p w14:paraId="52198B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资源预览、收藏、下载、一键克隆、部署适配说明、场景适配介绍</w:t>
      </w:r>
    </w:p>
    <w:p w14:paraId="26420D07">
      <w:pPr>
        <w:spacing w:before="380" w:after="140" w:line="288" w:lineRule="auto"/>
        <w:ind w:left="0"/>
        <w:jc w:val="left"/>
        <w:outlineLvl w:val="0"/>
      </w:pPr>
      <w:bookmarkStart w:id="43" w:name="heading_43"/>
      <w:r>
        <w:rPr>
          <w:rFonts w:ascii="Arial" w:hAnsi="Arial" w:eastAsia="等线" w:cs="Arial"/>
          <w:b/>
          <w:sz w:val="36"/>
        </w:rPr>
        <w:t>十二、Support 客户支持体系</w:t>
      </w:r>
      <w:bookmarkEnd w:id="43"/>
    </w:p>
    <w:p w14:paraId="0B61E91F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帮助中心：自助问题排查、基础教程</w:t>
      </w:r>
    </w:p>
    <w:p w14:paraId="631CA2C3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工单系统：问题提交、进度查询、闭环跟进</w:t>
      </w:r>
    </w:p>
    <w:p w14:paraId="2670D292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Bug反馈：产品问题提交、版本迭代跟进</w:t>
      </w:r>
    </w:p>
    <w:p w14:paraId="6CD56757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社群支持：企业微信群、技术交流群入口</w:t>
      </w:r>
    </w:p>
    <w:p w14:paraId="049352CA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商务对接：私有化部署、定制开发、付费服务咨询</w:t>
      </w:r>
    </w:p>
    <w:p w14:paraId="2709ACE1">
      <w:pPr>
        <w:spacing w:before="380" w:after="140" w:line="288" w:lineRule="auto"/>
        <w:ind w:left="0"/>
        <w:jc w:val="left"/>
        <w:outlineLvl w:val="0"/>
      </w:pPr>
      <w:bookmarkStart w:id="44" w:name="heading_44"/>
      <w:r>
        <w:rPr>
          <w:rFonts w:ascii="Arial" w:hAnsi="Arial" w:eastAsia="等线" w:cs="Arial"/>
          <w:b/>
          <w:sz w:val="36"/>
        </w:rPr>
        <w:t>十三、客户控制台（登录后专属）</w:t>
      </w:r>
      <w:bookmarkEnd w:id="44"/>
    </w:p>
    <w:p w14:paraId="493ABC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面向企业用户的自助管理后台，整合所有个人/企业权限能力：</w:t>
      </w:r>
    </w:p>
    <w:p w14:paraId="3A458B20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我的License：授权全生命周期管理</w:t>
      </w:r>
    </w:p>
    <w:p w14:paraId="72863E05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我的下载：历史下载记录、版本回溯</w:t>
      </w:r>
    </w:p>
    <w:p w14:paraId="5A10A89E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我的工单：提交记录、处理进度、历史工单</w:t>
      </w:r>
    </w:p>
    <w:p w14:paraId="2B780AA1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我的资源：已收藏/克隆的Agent、模板、工作流</w:t>
      </w:r>
    </w:p>
    <w:p w14:paraId="29101542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API管理：API密钥创建、用量统计、权限管控</w:t>
      </w:r>
    </w:p>
    <w:p w14:paraId="4D674C64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团队管理：企业成员权限、账号管理</w:t>
      </w:r>
    </w:p>
    <w:p w14:paraId="121C8679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订单账单：付费版本订单、续费记录、账单导出</w:t>
      </w:r>
    </w:p>
    <w:p w14:paraId="7606BF9E">
      <w:pPr>
        <w:spacing w:before="380" w:after="140" w:line="288" w:lineRule="auto"/>
        <w:ind w:left="0"/>
        <w:jc w:val="left"/>
        <w:outlineLvl w:val="0"/>
      </w:pPr>
      <w:bookmarkStart w:id="45" w:name="heading_45"/>
      <w:r>
        <w:rPr>
          <w:rFonts w:ascii="Arial" w:hAnsi="Arial" w:eastAsia="等线" w:cs="Arial"/>
          <w:b/>
          <w:sz w:val="36"/>
        </w:rPr>
        <w:t>十四、CMS 运营后台（内部管理）</w:t>
      </w:r>
      <w:bookmarkEnd w:id="45"/>
    </w:p>
    <w:p w14:paraId="537804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实现全站内容零代码运营，无需前端迭代即可更新所有门户内容：</w:t>
      </w:r>
    </w:p>
    <w:p w14:paraId="7548B78E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首页配置：Banner、公告、核心文案、快捷入口配置</w:t>
      </w:r>
    </w:p>
    <w:p w14:paraId="69CF5FF2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版本管理：新增版本、更新Release Note、上传下载资源、配置校验码</w:t>
      </w:r>
    </w:p>
    <w:p w14:paraId="4395072C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文档管理：文档上下架、版本同步、内容编辑</w:t>
      </w:r>
    </w:p>
    <w:p w14:paraId="67A1FFFE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内容运营：博客、资讯、案例新增编辑</w:t>
      </w:r>
    </w:p>
    <w:p w14:paraId="3605A208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市场管理：Marketplace资源审核、上下架、推荐位配置</w:t>
      </w:r>
    </w:p>
    <w:p w14:paraId="21C478C7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授权管理：OpenLab申请审核、License生成与管控</w:t>
      </w:r>
    </w:p>
    <w:p w14:paraId="4CF68AC8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工单管理：用户工单接收、处理、闭环、统计</w:t>
      </w:r>
    </w:p>
    <w:p w14:paraId="4EDCC4EF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数据统计：门户访问、下载量、申请量、转化率数据看板</w:t>
      </w:r>
    </w:p>
    <w:p w14:paraId="1D6C1431">
      <w:pPr>
        <w:spacing w:before="380" w:after="140" w:line="288" w:lineRule="auto"/>
        <w:ind w:left="0"/>
        <w:jc w:val="left"/>
        <w:outlineLvl w:val="0"/>
      </w:pPr>
      <w:bookmarkStart w:id="46" w:name="heading_46"/>
      <w:r>
        <w:rPr>
          <w:rFonts w:ascii="Arial" w:hAnsi="Arial" w:eastAsia="等线" w:cs="Arial"/>
          <w:b/>
          <w:sz w:val="36"/>
        </w:rPr>
        <w:t>十五、权限体系</w:t>
      </w:r>
      <w:bookmarkEnd w:id="4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784EAD8F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742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用户角色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5D3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核心权限</w:t>
            </w:r>
          </w:p>
        </w:tc>
      </w:tr>
      <w:tr w14:paraId="6340B286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651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游客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57C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浏览产品、文档、兼容矩阵、市场资源、博客；查看公开版本信息，无下载、授权、操作权限</w:t>
            </w:r>
          </w:p>
        </w:tc>
      </w:tr>
      <w:tr w14:paraId="5A2050C2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CBB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注册普通用户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46F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游客权限+提交试用申请、收藏市场资源、提交工单</w:t>
            </w:r>
          </w:p>
        </w:tc>
      </w:tr>
      <w:tr w14:paraId="63658A1B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B71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企业授权用户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1C8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普通用户权限+软件下载、License管理、控制台全功能使用、团队管理</w:t>
            </w:r>
          </w:p>
        </w:tc>
      </w:tr>
      <w:tr w14:paraId="42888F53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421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平台运营管理员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F56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CMS后台全权限、内容审核、授权审核、工单处理、数据查看</w:t>
            </w:r>
          </w:p>
        </w:tc>
      </w:tr>
    </w:tbl>
    <w:p w14:paraId="654C3B04">
      <w:pPr>
        <w:spacing w:before="380" w:after="140" w:line="288" w:lineRule="auto"/>
        <w:ind w:left="0"/>
        <w:jc w:val="left"/>
        <w:outlineLvl w:val="0"/>
      </w:pPr>
      <w:bookmarkStart w:id="47" w:name="heading_47"/>
      <w:r>
        <w:rPr>
          <w:rFonts w:ascii="Arial" w:hAnsi="Arial" w:eastAsia="等线" w:cs="Arial"/>
          <w:b/>
          <w:sz w:val="36"/>
        </w:rPr>
        <w:t>十六、迭代落地规划</w:t>
      </w:r>
      <w:bookmarkEnd w:id="47"/>
    </w:p>
    <w:p w14:paraId="2D6A4CD3">
      <w:pPr>
        <w:spacing w:before="320" w:after="120" w:line="288" w:lineRule="auto"/>
        <w:ind w:left="0"/>
        <w:jc w:val="left"/>
        <w:outlineLvl w:val="1"/>
      </w:pPr>
      <w:bookmarkStart w:id="48" w:name="heading_48"/>
      <w:r>
        <w:rPr>
          <w:rFonts w:ascii="Arial" w:hAnsi="Arial" w:eastAsia="等线" w:cs="Arial"/>
          <w:b/>
          <w:sz w:val="32"/>
        </w:rPr>
        <w:t>V2.0 MVP版本（核心闭环）</w:t>
      </w:r>
      <w:bookmarkEnd w:id="48"/>
    </w:p>
    <w:p w14:paraId="682817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首页、产品中心、下载中心、基础文档中心、OpenLab试用申请、基础Support能力、登录控制台基础能力</w:t>
      </w:r>
    </w:p>
    <w:p w14:paraId="011417B4">
      <w:pPr>
        <w:spacing w:before="320" w:after="120" w:line="288" w:lineRule="auto"/>
        <w:ind w:left="0"/>
        <w:jc w:val="left"/>
        <w:outlineLvl w:val="1"/>
      </w:pPr>
      <w:bookmarkStart w:id="49" w:name="heading_49"/>
      <w:r>
        <w:rPr>
          <w:rFonts w:ascii="Arial" w:hAnsi="Arial" w:eastAsia="等线" w:cs="Arial"/>
          <w:b/>
          <w:sz w:val="32"/>
        </w:rPr>
        <w:t>V2.1 能力完善版</w:t>
      </w:r>
      <w:bookmarkEnd w:id="49"/>
    </w:p>
    <w:p w14:paraId="6E0DD5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License完整管理、独立部署中心、环境兼容矩阵、Marketplace完整功能、工单闭环、文档多版本与PDF导出</w:t>
      </w:r>
    </w:p>
    <w:p w14:paraId="30A96E04">
      <w:pPr>
        <w:spacing w:before="320" w:after="120" w:line="288" w:lineRule="auto"/>
        <w:ind w:left="0"/>
        <w:jc w:val="left"/>
        <w:outlineLvl w:val="1"/>
      </w:pPr>
      <w:bookmarkStart w:id="50" w:name="heading_50"/>
      <w:r>
        <w:rPr>
          <w:rFonts w:ascii="Arial" w:hAnsi="Arial" w:eastAsia="等线" w:cs="Arial"/>
          <w:b/>
          <w:sz w:val="32"/>
        </w:rPr>
        <w:t>V2.2 商业化运营版</w:t>
      </w:r>
      <w:bookmarkEnd w:id="50"/>
    </w:p>
    <w:p w14:paraId="162ECD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完整CMS运营后台、数据统计看板、付费授权管理、团队高级权限、客户线索管理、生态内容运营体系</w:t>
      </w:r>
    </w:p>
    <w:p w14:paraId="4D1D913C">
      <w:pPr>
        <w:spacing w:before="380" w:after="140" w:line="288" w:lineRule="auto"/>
        <w:ind w:left="0"/>
        <w:jc w:val="left"/>
        <w:outlineLvl w:val="0"/>
      </w:pPr>
      <w:bookmarkStart w:id="51" w:name="heading_51"/>
      <w:r>
        <w:rPr>
          <w:rFonts w:ascii="Arial" w:hAnsi="Arial" w:eastAsia="等线" w:cs="Arial"/>
          <w:b/>
          <w:sz w:val="36"/>
        </w:rPr>
        <w:t>十七、非功能需求</w:t>
      </w:r>
      <w:bookmarkEnd w:id="51"/>
    </w:p>
    <w:p w14:paraId="28ECC4B2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性能</w:t>
      </w:r>
      <w:r>
        <w:rPr>
          <w:rFonts w:ascii="Arial" w:hAnsi="Arial" w:eastAsia="等线" w:cs="Arial"/>
          <w:sz w:val="22"/>
        </w:rPr>
        <w:t>：文档页面秒开、下载页面极速加载、全文检索响应≤300ms、首屏加载≤1.5s</w:t>
      </w:r>
    </w:p>
    <w:p w14:paraId="657A3CD8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安全</w:t>
      </w:r>
      <w:r>
        <w:rPr>
          <w:rFonts w:ascii="Arial" w:hAnsi="Arial" w:eastAsia="等线" w:cs="Arial"/>
          <w:sz w:val="22"/>
        </w:rPr>
        <w:t>：下载资源防篡改（SHA256校验）、License加密授权、用户数据脱敏、HTTPS全站加密</w:t>
      </w:r>
    </w:p>
    <w:p w14:paraId="217AE80E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兼容</w:t>
      </w:r>
      <w:r>
        <w:rPr>
          <w:rFonts w:ascii="Arial" w:hAnsi="Arial" w:eastAsia="等线" w:cs="Arial"/>
          <w:sz w:val="22"/>
        </w:rPr>
        <w:t>：主流浏览器适配、PC/大屏自适应，满足企业办公设备适配要求</w:t>
      </w:r>
    </w:p>
    <w:p w14:paraId="136B4492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可维护</w:t>
      </w:r>
      <w:r>
        <w:rPr>
          <w:rFonts w:ascii="Arial" w:hAnsi="Arial" w:eastAsia="等线" w:cs="Arial"/>
          <w:sz w:val="22"/>
        </w:rPr>
        <w:t>：基于Nextra标准化文档，支持批量更新、版本迭代、一键导出</w:t>
      </w:r>
    </w:p>
    <w:p w14:paraId="0EC479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9D00C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81338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78AE56"/>
    <w:multiLevelType w:val="singleLevel"/>
    <w:tmpl w:val="8678AE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FFFD65"/>
    <w:multiLevelType w:val="singleLevel"/>
    <w:tmpl w:val="9CFFFD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DEEF251"/>
    <w:multiLevelType w:val="singleLevel"/>
    <w:tmpl w:val="9DEEF2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F376712"/>
    <w:multiLevelType w:val="singleLevel"/>
    <w:tmpl w:val="9F37671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FDE960D"/>
    <w:multiLevelType w:val="singleLevel"/>
    <w:tmpl w:val="9FDE960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FF0668B"/>
    <w:multiLevelType w:val="singleLevel"/>
    <w:tmpl w:val="9FF0668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A9A63B90"/>
    <w:multiLevelType w:val="singleLevel"/>
    <w:tmpl w:val="A9A63B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AFF2B342"/>
    <w:multiLevelType w:val="singleLevel"/>
    <w:tmpl w:val="AFF2B34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2DEDA1E"/>
    <w:multiLevelType w:val="singleLevel"/>
    <w:tmpl w:val="B2DEDA1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3C416AD"/>
    <w:multiLevelType w:val="singleLevel"/>
    <w:tmpl w:val="B3C416A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6BF3F12"/>
    <w:multiLevelType w:val="singleLevel"/>
    <w:tmpl w:val="B6BF3F1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A3A9F58"/>
    <w:multiLevelType w:val="singleLevel"/>
    <w:tmpl w:val="BA3A9F5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B9F0697"/>
    <w:multiLevelType w:val="singleLevel"/>
    <w:tmpl w:val="BB9F06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BAEF8E7"/>
    <w:multiLevelType w:val="singleLevel"/>
    <w:tmpl w:val="BBAEF8E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C770489"/>
    <w:multiLevelType w:val="singleLevel"/>
    <w:tmpl w:val="BC7704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DB7310D"/>
    <w:multiLevelType w:val="singleLevel"/>
    <w:tmpl w:val="BDB7310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DE22058"/>
    <w:multiLevelType w:val="singleLevel"/>
    <w:tmpl w:val="BDE2205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EBE3FF7"/>
    <w:multiLevelType w:val="singleLevel"/>
    <w:tmpl w:val="BEBE3F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BEF7B577"/>
    <w:multiLevelType w:val="singleLevel"/>
    <w:tmpl w:val="BEF7B57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BF6F794C"/>
    <w:multiLevelType w:val="singleLevel"/>
    <w:tmpl w:val="BF6F79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BFD8FE55"/>
    <w:multiLevelType w:val="singleLevel"/>
    <w:tmpl w:val="BFD8FE5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FE628FA"/>
    <w:multiLevelType w:val="singleLevel"/>
    <w:tmpl w:val="BFE628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FEE4973"/>
    <w:multiLevelType w:val="singleLevel"/>
    <w:tmpl w:val="BFEE497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CBD6A86E"/>
    <w:multiLevelType w:val="singleLevel"/>
    <w:tmpl w:val="CBD6A8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CCDC9419"/>
    <w:multiLevelType w:val="singleLevel"/>
    <w:tmpl w:val="CCDC941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CE7CA1F0"/>
    <w:multiLevelType w:val="singleLevel"/>
    <w:tmpl w:val="CE7CA1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CFCD80E7"/>
    <w:multiLevelType w:val="singleLevel"/>
    <w:tmpl w:val="CFCD80E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CFD01854"/>
    <w:multiLevelType w:val="singleLevel"/>
    <w:tmpl w:val="CFD01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CFFA6679"/>
    <w:multiLevelType w:val="singleLevel"/>
    <w:tmpl w:val="CFFA66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CFFBCB97"/>
    <w:multiLevelType w:val="singleLevel"/>
    <w:tmpl w:val="CFFBCB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D45EEEAE"/>
    <w:multiLevelType w:val="singleLevel"/>
    <w:tmpl w:val="D45EEEA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D96F65CF"/>
    <w:multiLevelType w:val="singleLevel"/>
    <w:tmpl w:val="D96F65C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DBCFFF38"/>
    <w:multiLevelType w:val="singleLevel"/>
    <w:tmpl w:val="DBCFFF3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DBF8D517"/>
    <w:multiLevelType w:val="singleLevel"/>
    <w:tmpl w:val="DBF8D51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DEBD7EFA"/>
    <w:multiLevelType w:val="singleLevel"/>
    <w:tmpl w:val="DEBD7E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DEFE113A"/>
    <w:multiLevelType w:val="singleLevel"/>
    <w:tmpl w:val="DEFE11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DF96A0E7"/>
    <w:multiLevelType w:val="singleLevel"/>
    <w:tmpl w:val="DF96A0E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DFB73F45"/>
    <w:multiLevelType w:val="singleLevel"/>
    <w:tmpl w:val="DFB73F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DFFF4916"/>
    <w:multiLevelType w:val="singleLevel"/>
    <w:tmpl w:val="DFFF49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E36FE096"/>
    <w:multiLevelType w:val="singleLevel"/>
    <w:tmpl w:val="E36FE0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E474944B"/>
    <w:multiLevelType w:val="singleLevel"/>
    <w:tmpl w:val="E474944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E57EDEF8"/>
    <w:multiLevelType w:val="singleLevel"/>
    <w:tmpl w:val="E57EDEF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E76ACEBA"/>
    <w:multiLevelType w:val="singleLevel"/>
    <w:tmpl w:val="E76ACE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E9FF90AF"/>
    <w:multiLevelType w:val="singleLevel"/>
    <w:tmpl w:val="E9FF90A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EBE2AB32"/>
    <w:multiLevelType w:val="singleLevel"/>
    <w:tmpl w:val="EBE2AB3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EF3EB2D2"/>
    <w:multiLevelType w:val="singleLevel"/>
    <w:tmpl w:val="EF3EB2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EF725CB3"/>
    <w:multiLevelType w:val="singleLevel"/>
    <w:tmpl w:val="EF725CB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EF9DEB26"/>
    <w:multiLevelType w:val="singleLevel"/>
    <w:tmpl w:val="EF9DEB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EFDC8288"/>
    <w:multiLevelType w:val="singleLevel"/>
    <w:tmpl w:val="EFDC82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EFDD16FB"/>
    <w:multiLevelType w:val="singleLevel"/>
    <w:tmpl w:val="EFDD16F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F07C0C5A"/>
    <w:multiLevelType w:val="singleLevel"/>
    <w:tmpl w:val="F07C0C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F11D5F55"/>
    <w:multiLevelType w:val="singleLevel"/>
    <w:tmpl w:val="F11D5F5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F2FFB323"/>
    <w:multiLevelType w:val="singleLevel"/>
    <w:tmpl w:val="F2FFB32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F476DBE1"/>
    <w:multiLevelType w:val="singleLevel"/>
    <w:tmpl w:val="F476DB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F6FEAE64"/>
    <w:multiLevelType w:val="singleLevel"/>
    <w:tmpl w:val="F6FEAE6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F7AFF20C"/>
    <w:multiLevelType w:val="singleLevel"/>
    <w:tmpl w:val="F7AFF20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F7BED38F"/>
    <w:multiLevelType w:val="singleLevel"/>
    <w:tmpl w:val="F7BED38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F7C57FAE"/>
    <w:multiLevelType w:val="singleLevel"/>
    <w:tmpl w:val="F7C57FA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F7DFF619"/>
    <w:multiLevelType w:val="singleLevel"/>
    <w:tmpl w:val="F7DFF61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F9DF8D0A"/>
    <w:multiLevelType w:val="singleLevel"/>
    <w:tmpl w:val="F9DF8D0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F9EE9094"/>
    <w:multiLevelType w:val="singleLevel"/>
    <w:tmpl w:val="F9EE909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FB6E48E4"/>
    <w:multiLevelType w:val="singleLevel"/>
    <w:tmpl w:val="FB6E48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FBA51E16"/>
    <w:multiLevelType w:val="singleLevel"/>
    <w:tmpl w:val="FBA51E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FBDF3C91"/>
    <w:multiLevelType w:val="singleLevel"/>
    <w:tmpl w:val="FBDF3C9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FBF01CA4"/>
    <w:multiLevelType w:val="singleLevel"/>
    <w:tmpl w:val="FBF01C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FBF737BF"/>
    <w:multiLevelType w:val="singleLevel"/>
    <w:tmpl w:val="FBF737B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FBF8099D"/>
    <w:multiLevelType w:val="singleLevel"/>
    <w:tmpl w:val="FBF8099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FBFFB797"/>
    <w:multiLevelType w:val="singleLevel"/>
    <w:tmpl w:val="FBFFB7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FCDED289"/>
    <w:multiLevelType w:val="singleLevel"/>
    <w:tmpl w:val="FCDED2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FD9BF5DB"/>
    <w:multiLevelType w:val="singleLevel"/>
    <w:tmpl w:val="FD9BF5D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FDFBE47F"/>
    <w:multiLevelType w:val="singleLevel"/>
    <w:tmpl w:val="FDFBE4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FDFFA180"/>
    <w:multiLevelType w:val="singleLevel"/>
    <w:tmpl w:val="FDFFA18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FEFFF43F"/>
    <w:multiLevelType w:val="singleLevel"/>
    <w:tmpl w:val="FEFFF43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FF22A321"/>
    <w:multiLevelType w:val="singleLevel"/>
    <w:tmpl w:val="FF22A3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FF7F07F7"/>
    <w:multiLevelType w:val="singleLevel"/>
    <w:tmpl w:val="FF7F07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FFACEEDF"/>
    <w:multiLevelType w:val="singleLevel"/>
    <w:tmpl w:val="FFACEE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FFAD2C43"/>
    <w:multiLevelType w:val="singleLevel"/>
    <w:tmpl w:val="FFAD2C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FFAFE032"/>
    <w:multiLevelType w:val="singleLevel"/>
    <w:tmpl w:val="FFAFE03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FFEECD27"/>
    <w:multiLevelType w:val="singleLevel"/>
    <w:tmpl w:val="FFEECD2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FFFC1543"/>
    <w:multiLevelType w:val="singleLevel"/>
    <w:tmpl w:val="FFFC15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FFFEC5BD"/>
    <w:multiLevelType w:val="singleLevel"/>
    <w:tmpl w:val="FFFEC5B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365CEA8B"/>
    <w:multiLevelType w:val="singleLevel"/>
    <w:tmpl w:val="365CEA8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367BFDA3"/>
    <w:multiLevelType w:val="singleLevel"/>
    <w:tmpl w:val="367BFDA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3DF2D79A"/>
    <w:multiLevelType w:val="singleLevel"/>
    <w:tmpl w:val="3DF2D79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3F4F5E84"/>
    <w:multiLevelType w:val="singleLevel"/>
    <w:tmpl w:val="3F4F5E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56FA9EE2"/>
    <w:multiLevelType w:val="singleLevel"/>
    <w:tmpl w:val="56FA9EE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5EF77FB3"/>
    <w:multiLevelType w:val="singleLevel"/>
    <w:tmpl w:val="5EF77FB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5FBC5A15"/>
    <w:multiLevelType w:val="singleLevel"/>
    <w:tmpl w:val="5FBC5A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6EE60F3D"/>
    <w:multiLevelType w:val="singleLevel"/>
    <w:tmpl w:val="6EE60F3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6FFE46F7"/>
    <w:multiLevelType w:val="singleLevel"/>
    <w:tmpl w:val="6FFE46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733E2DA9"/>
    <w:multiLevelType w:val="singleLevel"/>
    <w:tmpl w:val="733E2D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77520678"/>
    <w:multiLevelType w:val="singleLevel"/>
    <w:tmpl w:val="775206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77D6C1F1"/>
    <w:multiLevelType w:val="singleLevel"/>
    <w:tmpl w:val="77D6C1F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77FD1F22"/>
    <w:multiLevelType w:val="singleLevel"/>
    <w:tmpl w:val="77FD1F2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787B2E14"/>
    <w:multiLevelType w:val="singleLevel"/>
    <w:tmpl w:val="787B2E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7B3FC9B9"/>
    <w:multiLevelType w:val="singleLevel"/>
    <w:tmpl w:val="7B3FC9B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7BF8DD83"/>
    <w:multiLevelType w:val="singleLevel"/>
    <w:tmpl w:val="7BF8DD8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7E91E7A2"/>
    <w:multiLevelType w:val="singleLevel"/>
    <w:tmpl w:val="7E91E7A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7EFE2A6A"/>
    <w:multiLevelType w:val="singleLevel"/>
    <w:tmpl w:val="7EFE2A6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7EFF36D7"/>
    <w:multiLevelType w:val="singleLevel"/>
    <w:tmpl w:val="7EFF36D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7F6C2C11"/>
    <w:multiLevelType w:val="singleLevel"/>
    <w:tmpl w:val="7F6C2C1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7FF338C6"/>
    <w:multiLevelType w:val="singleLevel"/>
    <w:tmpl w:val="7FF338C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7FF6BC6D"/>
    <w:multiLevelType w:val="singleLevel"/>
    <w:tmpl w:val="7FF6BC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7FFAA5AE"/>
    <w:multiLevelType w:val="singleLevel"/>
    <w:tmpl w:val="7FFAA5AE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52"/>
  </w:num>
  <w:num w:numId="2">
    <w:abstractNumId w:val="23"/>
  </w:num>
  <w:num w:numId="3">
    <w:abstractNumId w:val="69"/>
  </w:num>
  <w:num w:numId="4">
    <w:abstractNumId w:val="62"/>
  </w:num>
  <w:num w:numId="5">
    <w:abstractNumId w:val="49"/>
  </w:num>
  <w:num w:numId="6">
    <w:abstractNumId w:val="43"/>
  </w:num>
  <w:num w:numId="7">
    <w:abstractNumId w:val="83"/>
  </w:num>
  <w:num w:numId="8">
    <w:abstractNumId w:val="21"/>
  </w:num>
  <w:num w:numId="9">
    <w:abstractNumId w:val="27"/>
  </w:num>
  <w:num w:numId="10">
    <w:abstractNumId w:val="4"/>
  </w:num>
  <w:num w:numId="11">
    <w:abstractNumId w:val="44"/>
  </w:num>
  <w:num w:numId="12">
    <w:abstractNumId w:val="67"/>
  </w:num>
  <w:num w:numId="13">
    <w:abstractNumId w:val="64"/>
  </w:num>
  <w:num w:numId="14">
    <w:abstractNumId w:val="6"/>
  </w:num>
  <w:num w:numId="15">
    <w:abstractNumId w:val="85"/>
  </w:num>
  <w:num w:numId="16">
    <w:abstractNumId w:val="1"/>
  </w:num>
  <w:num w:numId="17">
    <w:abstractNumId w:val="98"/>
  </w:num>
  <w:num w:numId="18">
    <w:abstractNumId w:val="82"/>
  </w:num>
  <w:num w:numId="19">
    <w:abstractNumId w:val="47"/>
  </w:num>
  <w:num w:numId="20">
    <w:abstractNumId w:val="53"/>
  </w:num>
  <w:num w:numId="21">
    <w:abstractNumId w:val="41"/>
  </w:num>
  <w:num w:numId="22">
    <w:abstractNumId w:val="63"/>
  </w:num>
  <w:num w:numId="23">
    <w:abstractNumId w:val="93"/>
  </w:num>
  <w:num w:numId="24">
    <w:abstractNumId w:val="33"/>
  </w:num>
  <w:num w:numId="25">
    <w:abstractNumId w:val="16"/>
  </w:num>
  <w:num w:numId="26">
    <w:abstractNumId w:val="35"/>
  </w:num>
  <w:num w:numId="27">
    <w:abstractNumId w:val="70"/>
  </w:num>
  <w:num w:numId="28">
    <w:abstractNumId w:val="3"/>
  </w:num>
  <w:num w:numId="29">
    <w:abstractNumId w:val="13"/>
  </w:num>
  <w:num w:numId="30">
    <w:abstractNumId w:val="88"/>
  </w:num>
  <w:num w:numId="31">
    <w:abstractNumId w:val="73"/>
  </w:num>
  <w:num w:numId="32">
    <w:abstractNumId w:val="26"/>
  </w:num>
  <w:num w:numId="33">
    <w:abstractNumId w:val="30"/>
  </w:num>
  <w:num w:numId="34">
    <w:abstractNumId w:val="76"/>
  </w:num>
  <w:num w:numId="35">
    <w:abstractNumId w:val="78"/>
  </w:num>
  <w:num w:numId="36">
    <w:abstractNumId w:val="58"/>
  </w:num>
  <w:num w:numId="37">
    <w:abstractNumId w:val="5"/>
  </w:num>
  <w:num w:numId="38">
    <w:abstractNumId w:val="60"/>
  </w:num>
  <w:num w:numId="39">
    <w:abstractNumId w:val="55"/>
  </w:num>
  <w:num w:numId="40">
    <w:abstractNumId w:val="59"/>
  </w:num>
  <w:num w:numId="41">
    <w:abstractNumId w:val="56"/>
  </w:num>
  <w:num w:numId="42">
    <w:abstractNumId w:val="17"/>
  </w:num>
  <w:num w:numId="43">
    <w:abstractNumId w:val="8"/>
  </w:num>
  <w:num w:numId="44">
    <w:abstractNumId w:val="66"/>
  </w:num>
  <w:num w:numId="45">
    <w:abstractNumId w:val="38"/>
  </w:num>
  <w:num w:numId="46">
    <w:abstractNumId w:val="100"/>
  </w:num>
  <w:num w:numId="47">
    <w:abstractNumId w:val="40"/>
  </w:num>
  <w:num w:numId="48">
    <w:abstractNumId w:val="94"/>
  </w:num>
  <w:num w:numId="49">
    <w:abstractNumId w:val="37"/>
  </w:num>
  <w:num w:numId="50">
    <w:abstractNumId w:val="80"/>
  </w:num>
  <w:num w:numId="51">
    <w:abstractNumId w:val="84"/>
  </w:num>
  <w:num w:numId="52">
    <w:abstractNumId w:val="74"/>
  </w:num>
  <w:num w:numId="53">
    <w:abstractNumId w:val="95"/>
  </w:num>
  <w:num w:numId="54">
    <w:abstractNumId w:val="51"/>
  </w:num>
  <w:num w:numId="55">
    <w:abstractNumId w:val="9"/>
  </w:num>
  <w:num w:numId="56">
    <w:abstractNumId w:val="34"/>
  </w:num>
  <w:num w:numId="57">
    <w:abstractNumId w:val="29"/>
  </w:num>
  <w:num w:numId="58">
    <w:abstractNumId w:val="45"/>
  </w:num>
  <w:num w:numId="59">
    <w:abstractNumId w:val="89"/>
  </w:num>
  <w:num w:numId="60">
    <w:abstractNumId w:val="10"/>
  </w:num>
  <w:num w:numId="61">
    <w:abstractNumId w:val="39"/>
  </w:num>
  <w:num w:numId="62">
    <w:abstractNumId w:val="14"/>
  </w:num>
  <w:num w:numId="63">
    <w:abstractNumId w:val="102"/>
  </w:num>
  <w:num w:numId="64">
    <w:abstractNumId w:val="77"/>
  </w:num>
  <w:num w:numId="65">
    <w:abstractNumId w:val="19"/>
  </w:num>
  <w:num w:numId="66">
    <w:abstractNumId w:val="91"/>
  </w:num>
  <w:num w:numId="67">
    <w:abstractNumId w:val="57"/>
  </w:num>
  <w:num w:numId="68">
    <w:abstractNumId w:val="18"/>
  </w:num>
  <w:num w:numId="69">
    <w:abstractNumId w:val="24"/>
  </w:num>
  <w:num w:numId="70">
    <w:abstractNumId w:val="101"/>
  </w:num>
  <w:num w:numId="71">
    <w:abstractNumId w:val="81"/>
  </w:num>
  <w:num w:numId="72">
    <w:abstractNumId w:val="97"/>
  </w:num>
  <w:num w:numId="73">
    <w:abstractNumId w:val="46"/>
  </w:num>
  <w:num w:numId="74">
    <w:abstractNumId w:val="22"/>
  </w:num>
  <w:num w:numId="75">
    <w:abstractNumId w:val="31"/>
  </w:num>
  <w:num w:numId="76">
    <w:abstractNumId w:val="103"/>
  </w:num>
  <w:num w:numId="77">
    <w:abstractNumId w:val="15"/>
  </w:num>
  <w:num w:numId="78">
    <w:abstractNumId w:val="68"/>
  </w:num>
  <w:num w:numId="79">
    <w:abstractNumId w:val="86"/>
  </w:num>
  <w:num w:numId="80">
    <w:abstractNumId w:val="20"/>
  </w:num>
  <w:num w:numId="81">
    <w:abstractNumId w:val="87"/>
  </w:num>
  <w:num w:numId="82">
    <w:abstractNumId w:val="99"/>
  </w:num>
  <w:num w:numId="83">
    <w:abstractNumId w:val="12"/>
  </w:num>
  <w:num w:numId="84">
    <w:abstractNumId w:val="0"/>
  </w:num>
  <w:num w:numId="85">
    <w:abstractNumId w:val="2"/>
  </w:num>
  <w:num w:numId="86">
    <w:abstractNumId w:val="25"/>
  </w:num>
  <w:num w:numId="87">
    <w:abstractNumId w:val="54"/>
  </w:num>
  <w:num w:numId="88">
    <w:abstractNumId w:val="7"/>
  </w:num>
  <w:num w:numId="89">
    <w:abstractNumId w:val="71"/>
  </w:num>
  <w:num w:numId="90">
    <w:abstractNumId w:val="65"/>
  </w:num>
  <w:num w:numId="91">
    <w:abstractNumId w:val="79"/>
  </w:num>
  <w:num w:numId="92">
    <w:abstractNumId w:val="96"/>
  </w:num>
  <w:num w:numId="93">
    <w:abstractNumId w:val="75"/>
  </w:num>
  <w:num w:numId="94">
    <w:abstractNumId w:val="42"/>
  </w:num>
  <w:num w:numId="95">
    <w:abstractNumId w:val="36"/>
  </w:num>
  <w:num w:numId="96">
    <w:abstractNumId w:val="90"/>
  </w:num>
  <w:num w:numId="97">
    <w:abstractNumId w:val="28"/>
  </w:num>
  <w:num w:numId="98">
    <w:abstractNumId w:val="50"/>
  </w:num>
  <w:num w:numId="99">
    <w:abstractNumId w:val="61"/>
  </w:num>
  <w:num w:numId="100">
    <w:abstractNumId w:val="72"/>
  </w:num>
  <w:num w:numId="101">
    <w:abstractNumId w:val="32"/>
  </w:num>
  <w:num w:numId="102">
    <w:abstractNumId w:val="11"/>
  </w:num>
  <w:num w:numId="103">
    <w:abstractNumId w:val="92"/>
  </w:num>
  <w:num w:numId="104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9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DBFFA3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TotalTime>0</TotalTime>
  <ScaleCrop>false</ScaleCrop>
  <LinksUpToDate>false</LinksUpToDate>
  <Application>WPS Office_7.4.1.8983_F1E327BC-269C-435d-A152-05C5408002CA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2026-07-08T16:53:00Z</dcterms:created>
  <dc:creator>Apache POI</dc:creator>
  <cp:lastModifiedBy>毕凌菲</cp:lastModifiedBy>
  <dcterms:modified xsi:type="dcterms:W3CDTF">2026-07-08T16:54:07Z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{"Label":"1","ContentProducer":"001191110102MACQD9K64010000","ProduceID":"7660077706823355614","ReservedCode1":"","ContentPropagator":"","PropagateID":"","ReservedCode2":""}</vt:lpwstr>
  </property>
  <property fmtid="{D5CDD505-2E9C-101B-9397-08002B2CF9AE}" pid="3" name="KSOProductBuildVer">
    <vt:lpwstr>2052-7.4.1.8983</vt:lpwstr>
  </property>
  <property fmtid="{D5CDD505-2E9C-101B-9397-08002B2CF9AE}" pid="4" name="ICV">
    <vt:lpwstr>03BFC181111787622F104E6A70E17619_42</vt:lpwstr>
  </property>
</Properties>
</file>