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7 семестр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«КМиАД»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4 курса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hAnsi="Times New Roman" w:cs="Times New Roman"/>
          <w:sz w:val="26"/>
          <w:szCs w:val="26"/>
        </w:rPr>
        <w:t>. С.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Чичурин А. В.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Статистический анализ данных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Wolfram Language объединяет многие аспекты статистического анализа данных, от получения и изучения данных до построения высококачественных моделей и вывода последствий.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Wolfram Language предоставляет несколько способов получения данных, начиная со встроенных кураторских источников данных, импорта из различных форматов файлов или подключения к базам данных. Базовая обработка данных, включая вычисление статистических величин, сглаживание, тестирование и визуализацию, дает первый уровень анализа.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Добавляя в микс модели, такие как модели распределения или регрессии, можно ответить на более широкий круг вопросов анализа или даже предоставить возможности прогнозирования.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Описательная статистика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Описательные статистические функции Wolfram Language работают как на явных данных, так и на символьных представлениях статистических распределений.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явными данными функции регулярно обрабатывают огромные наборы данных, которые могут содержать не только числа, но и символьные элементы, представляющие, например, параметризованные или неизвестные данные.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статистические программы используются для генерации случайных чисел и массивов данных с ними. Для отдельных псевдослучайных реальных чисел предусмотрена функция RandomReal[]. При каждом обращении к этой функции генерируется случайное (точнее, псевдослучайное) число в интервале от 0 до 1 с равномерным распределением. Функция RandomReal[xmin, xmax] генерирует случайное число в заданном интервале изменения переменной x.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</w:pPr>
      <w:r>
        <w:drawing>
          <wp:inline distT="0" distB="0" distL="114300" distR="114300">
            <wp:extent cx="5933440" cy="663575"/>
            <wp:effectExtent l="0" t="0" r="10160" b="698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местоположения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Статистика местоположения описывает, где находятся данные. Наиболее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распространённые</w:t>
      </w:r>
      <w:r>
        <w:rPr>
          <w:rFonts w:ascii="Times New Roman" w:hAnsi="Times New Roman" w:cs="Times New Roman"/>
          <w:sz w:val="28"/>
          <w:szCs w:val="28"/>
        </w:rPr>
        <w:t xml:space="preserve"> функции включают меры центральной тенденции, такие как среднее и медиана.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] указывает местоположение, перед которым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1480" cy="152400"/>
            <wp:effectExtent l="0" t="0" r="7620" b="0"/>
            <wp:docPr id="34" name="Рисунок 34" descr="https://reference.wolfram.com/language/tutorial/Files/NumericalOperationsOnData.en/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https://reference.wolfram.com/language/tutorial/Files/NumericalOperationsOnData.en/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лежит процент данных. Другими словами, 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</w:rPr>
        <w:t xml:space="preserve"> дает такое значение 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8580" cy="152400"/>
            <wp:effectExtent l="0" t="0" r="7620" b="0"/>
            <wp:docPr id="33" name="Рисунок 33" descr="https://reference.wolfram.com/language/tutorial/Files/NumericalOperationsOnData.en/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https://reference.wolfram.com/language/tutorial/Files/NumericalOperationsOnData.en/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что вероятность, которая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860" cy="152400"/>
            <wp:effectExtent l="0" t="0" r="0" b="0"/>
            <wp:docPr id="32" name="Рисунок 32" descr="https://reference.wolfram.com/language/tutorial/Files/NumericalOperationsOnData.en/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https://reference.wolfram.com/language/tutorial/Files/NumericalOperationsOnData.en/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меньше или равна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" cy="152400"/>
            <wp:effectExtent l="0" t="0" r="0" b="0"/>
            <wp:docPr id="31" name="Рисунок 31" descr="https://reference.wolfram.com/language/tutorial/Files/NumericalOperationsOnData.en/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https://reference.wolfram.com/language/tutorial/Files/NumericalOperationsOnData.en/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, и вероятность, которая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860" cy="152400"/>
            <wp:effectExtent l="0" t="0" r="0" b="0"/>
            <wp:docPr id="30" name="Рисунок 30" descr="https://reference.wolfram.com/language/tutorial/Files/NumericalOperationsOnData.en/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https://reference.wolfram.com/language/tutorial/Files/NumericalOperationsOnData.en/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больше или равна 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" cy="152400"/>
            <wp:effectExtent l="0" t="0" r="0" b="0"/>
            <wp:docPr id="29" name="Рисунок 29" descr="https://reference.wolfram.com/language/tutorial/Files/NumericalOperationsOnData.en/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https://reference.wolfram.com/language/tutorial/Files/NumericalOperationsOnData.en/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списка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среднее </w:t>
      </w:r>
      <w:r>
        <w:fldChar w:fldCharType="begin"/>
      </w:r>
      <w:r>
        <w:instrText xml:space="preserve"> HYPERLINK "https://reference.wolfram.com/language/ref/Mean.html"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значение Mean</w:t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] определяется как   </w:t>
      </w:r>
      <w:r>
        <w:drawing>
          <wp:inline distT="0" distB="0" distL="0" distR="0">
            <wp:extent cx="1296670" cy="198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134" cy="2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ind w:left="708"/>
      </w:pP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029075" cy="773430"/>
            <wp:effectExtent l="0" t="0" r="9525" b="381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Медиана </w:t>
      </w:r>
      <w:r>
        <w:fldChar w:fldCharType="begin"/>
      </w:r>
      <w:r>
        <w:instrText xml:space="preserve"> HYPERLINK "https://reference.wolfram.com/language/ref/Median.html"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Median</w:t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] эффективно дает значение в середине отсортированной версии 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>. Его часто считают более надежной мерой центра распределения, чем среднее, поскольку оно меньше зависит от отдаленных значений.</w:t>
      </w:r>
    </w:p>
    <w:p>
      <w:pPr>
        <w:spacing w:after="0"/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154805" cy="738505"/>
            <wp:effectExtent l="0" t="0" r="5715" b="825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дисперсии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StandartDeviation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дисперсии обобщает разброс или распространение данных. Большинство из этих функций описывают отклонение от определенного местоположения. Например, дисперсия является мерой отклонения от среднего значения, а стандартное отклонение — это просто квадратный корень дисперсии.</w:t>
      </w:r>
    </w:p>
    <w:p>
      <w:pPr>
        <w:pStyle w:val="1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Дисперсия </w:t>
      </w:r>
      <w:r>
        <w:fldChar w:fldCharType="begin"/>
      </w:r>
      <w:r>
        <w:instrText xml:space="preserve"> HYPERLINK "https://reference.wolfram.com/language/ref/Variance.html"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Variance</w:t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] определяется как</w:t>
      </w:r>
      <w:r>
        <w:drawing>
          <wp:inline distT="0" distB="0" distL="0" distR="0">
            <wp:extent cx="2461260" cy="218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148" cy="2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 для реальных данных.</w:t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933825" cy="807085"/>
            <wp:effectExtent l="0" t="0" r="13335" b="63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Стандартное отклонение </w:t>
      </w:r>
      <w:r>
        <w:fldChar w:fldCharType="begin"/>
      </w:r>
      <w:r>
        <w:instrText xml:space="preserve"> HYPERLINK "https://reference.wolfram.com/language/ref/StandardDeviation.html"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StandardDeviation</w:t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] определяется как.</w:t>
      </w:r>
      <w:r>
        <w:t xml:space="preserve"> </w:t>
      </w:r>
      <w:r>
        <w:drawing>
          <wp:inline distT="0" distB="0" distL="0" distR="0">
            <wp:extent cx="1082040" cy="23114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344" cy="25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-57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01945" cy="687070"/>
            <wp:effectExtent l="0" t="0" r="8255" b="1397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элементы в списке считаются выбранными случайным образом в соответствии с некоторым распределением вероятностей, то среднее дает оценку того, где находится центр распределения, в то время как стандартное отклонение дает оценку того, насколько широка дисперсия в распределении.</w:t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Quartiles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74415" cy="593725"/>
            <wp:effectExtent l="0" t="0" r="6985" b="63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" cy="152400"/>
            <wp:effectExtent l="0" t="0" r="0" b="0"/>
            <wp:docPr id="22" name="Рисунок 22" descr="https://reference.wolfram.com/language/tutorial/Files/NumericalOperationsOnData.en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s://reference.wolfram.com/language/tutorial/Files/NumericalOperationsOnData.en/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Й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квантиль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список]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]эффективно дает значение пути  </w:t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" cy="152400"/>
            <wp:effectExtent l="0" t="0" r="0" b="0"/>
            <wp:docPr id="21" name="Рисунок 21" descr="https://reference.wolfram.com/language/tutorial/Files/NumericalOperationsOnData.en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https://reference.wolfram.com/language/tutorial/Files/NumericalOperationsOnData.en/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отсортированную версию 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0"/>
      </w:pPr>
      <w:r>
        <w:drawing>
          <wp:inline distT="0" distB="0" distL="114300" distR="114300">
            <wp:extent cx="4106545" cy="1466850"/>
            <wp:effectExtent l="0" t="0" r="8255" b="1143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Символические особенности дистрибутивов(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CharacteristFunction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Дистрибутивы представлены в символической форме.</w:t>
      </w: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PDF[dist,x]вычисляет массовую функцию при x, если x является числовым значением, и в противном случае оставляет функцию в символьной форме, когда это возможно.</w:t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23585" cy="3490595"/>
            <wp:effectExtent l="0" t="0" r="1333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-737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ind w:left="-880" w:leftChars="-400" w:firstLine="0" w:firstLineChars="0"/>
        <w:jc w:val="center"/>
        <w:rPr>
          <w:rFonts w:hint="default"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CharacteristFunctio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n</w:t>
      </w:r>
      <w:r>
        <w:drawing>
          <wp:inline distT="0" distB="0" distL="114300" distR="114300">
            <wp:extent cx="6415405" cy="1050925"/>
            <wp:effectExtent l="0" t="0" r="63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587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Статистическая визуализация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Histogram&amp;Plot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данных часто представляются гистограммами по столбцам или строками. Если массив одномерный — его представляют столбиковыми гистограммами. При этом данные по горизонтали разбиваются на N участков по числу столбцов (или строк) будущей гистограммы. В каждом из частичных участков подсчитывается сумма данных — число, и оно определяет высоту (или длину) столбца. Таким образом, проводится первичная статистическая обработка данных.</w:t>
      </w: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ind w:left="-1587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874645" cy="2017395"/>
            <wp:effectExtent l="0" t="0" r="5715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144520" cy="2019300"/>
            <wp:effectExtent l="0" t="0" r="1016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ind w:left="17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449445" cy="2791460"/>
            <wp:effectExtent l="0" t="0" r="635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Дискретные распределения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описанные здесь, являются одними из наиболее часто используемых дискретных одномерных статистических распределений. Можно вычислить их плотности, средние значения, дисперсии и другие связанные свойства. Сами дистрибутивы представлены в символической форме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>[param 1,param2,...]. Такие функции, как Mean, которые дают свойства статистических распределений, принимают символьное представление распределения в качестве аргумента.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общих дискретных статистических распределений можно понять, рассмотрев последовательность испытаний, каждое из которых имеет два возможных исхода, например, успех и неудачу.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BinomialDitribution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Биномиальное распределение[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]— распределение числа успехов, которые происходят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независимых испытаниях, где вероятность успеха в каждом испытании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0"/>
        <w:ind w:left="113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329430" cy="880110"/>
            <wp:effectExtent l="0" t="0" r="13970" b="381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10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GeometricDistribution</w:t>
      </w:r>
    </w:p>
    <w:p>
      <w:pPr>
        <w:pStyle w:val="1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Геометрическое распределение[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] — это распределение общего числа испытаний до первого успеха, где вероятность успеха в каждом испытании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0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ind w:left="0"/>
      </w:pPr>
      <w:r>
        <w:drawing>
          <wp:inline distT="0" distB="0" distL="114300" distR="114300">
            <wp:extent cx="5935980" cy="915035"/>
            <wp:effectExtent l="0" t="0" r="7620" b="1460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Задача_1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данных о средней температуре в двух городах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Berlin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London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удобнее оказались сдвоенные горизонтальные гистограммы.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Левая гистограмма относится к одному городу, правая — к другому.</w:t>
      </w: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907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885" cy="4431665"/>
            <wp:effectExtent l="0" t="0" r="5715" b="317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Задача_2</w:t>
      </w: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часто группируются в некоторых областях, объединяющих их по определенным признакам. Такие области данных называют кластерами.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результате ниже показана кластеризация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рандомно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сгенерированного графа</w:t>
      </w:r>
      <w:r>
        <w:rPr>
          <w:rFonts w:ascii="Times New Roman" w:hAnsi="Times New Roman" w:cs="Times New Roman"/>
          <w:sz w:val="28"/>
          <w:szCs w:val="28"/>
        </w:rPr>
        <w:t xml:space="preserve">. Выявление кластеров в данном случае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апример, разбиение клиентов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всемирной сети на сообщества, имеющие сходные интересы и имеющие близкое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географическое положение, может увеличить производительность сервисов в сети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н</w:t>
      </w:r>
      <w:r>
        <w:rPr>
          <w:rFonts w:hint="default" w:ascii="Times New Roman" w:hAnsi="Times New Roman" w:cs="Times New Roman"/>
          <w:sz w:val="28"/>
          <w:szCs w:val="28"/>
        </w:rPr>
        <w:t>ахождение сообществ покупателей со схожими интересами и анализ покупок,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совершенных ими, позволяет эффективно строить рекомендации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к</w:t>
      </w:r>
      <w:r>
        <w:rPr>
          <w:rFonts w:hint="default" w:ascii="Times New Roman" w:hAnsi="Times New Roman" w:cs="Times New Roman"/>
          <w:sz w:val="28"/>
          <w:szCs w:val="28"/>
        </w:rPr>
        <w:t>ластеризация больших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графов позволяет строить эффективную визуализацию и быстро находить пути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-1474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829050" cy="5688965"/>
            <wp:effectExtent l="0" t="0" r="11430" b="10795"/>
            <wp:docPr id="1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55" w:after="0" w:line="345" w:lineRule="atLeast"/>
        <w:outlineLvl w:val="0"/>
        <w:rPr>
          <w:rFonts w:ascii="Arial" w:hAnsi="Arial" w:eastAsia="DengXian Light" w:cs="Arial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  <w:lang w:val="be-BY"/>
        </w:rPr>
        <w:t>Вывод</w:t>
      </w: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</w:rPr>
        <w:t>:</w:t>
      </w:r>
    </w:p>
    <w:p>
      <w:pPr>
        <w:spacing w:before="90" w:after="0" w:line="255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провёл статистический анализ данных в системе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be-BY"/>
        </w:rPr>
        <w:t>Wolfram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>.</w:t>
      </w:r>
    </w:p>
    <w:p>
      <w:pPr>
        <w:spacing w:before="75" w:after="0" w:line="240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A6DE7"/>
    <w:multiLevelType w:val="multilevel"/>
    <w:tmpl w:val="00CA6DE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47FD"/>
    <w:multiLevelType w:val="multilevel"/>
    <w:tmpl w:val="13A547F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33C6A"/>
    <w:multiLevelType w:val="multilevel"/>
    <w:tmpl w:val="49533C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33"/>
    <w:rsid w:val="001636CC"/>
    <w:rsid w:val="001853C4"/>
    <w:rsid w:val="00224664"/>
    <w:rsid w:val="00274951"/>
    <w:rsid w:val="00294515"/>
    <w:rsid w:val="00295024"/>
    <w:rsid w:val="00311533"/>
    <w:rsid w:val="00351000"/>
    <w:rsid w:val="0037515C"/>
    <w:rsid w:val="00407AF6"/>
    <w:rsid w:val="0041049A"/>
    <w:rsid w:val="00445D11"/>
    <w:rsid w:val="00456FC4"/>
    <w:rsid w:val="00554A8F"/>
    <w:rsid w:val="00620A08"/>
    <w:rsid w:val="00630F49"/>
    <w:rsid w:val="006E62FF"/>
    <w:rsid w:val="007362CB"/>
    <w:rsid w:val="007B26BA"/>
    <w:rsid w:val="007F0FDF"/>
    <w:rsid w:val="008E3671"/>
    <w:rsid w:val="00973C70"/>
    <w:rsid w:val="00977998"/>
    <w:rsid w:val="00A1639C"/>
    <w:rsid w:val="00A71B9C"/>
    <w:rsid w:val="00AC58B6"/>
    <w:rsid w:val="00C80B8F"/>
    <w:rsid w:val="00CC3856"/>
    <w:rsid w:val="00CF539E"/>
    <w:rsid w:val="00D6584C"/>
    <w:rsid w:val="00D726F2"/>
    <w:rsid w:val="00DB679A"/>
    <w:rsid w:val="00E322A7"/>
    <w:rsid w:val="00E90742"/>
    <w:rsid w:val="00EC56CE"/>
    <w:rsid w:val="00F26C27"/>
    <w:rsid w:val="00F65AA4"/>
    <w:rsid w:val="00F968F5"/>
    <w:rsid w:val="130B3C58"/>
    <w:rsid w:val="18ED1F7E"/>
    <w:rsid w:val="195231E5"/>
    <w:rsid w:val="2BBA5C3E"/>
    <w:rsid w:val="3DDA43B0"/>
    <w:rsid w:val="5C5F0994"/>
    <w:rsid w:val="732E5BA7"/>
    <w:rsid w:val="784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annotation text"/>
    <w:basedOn w:val="1"/>
    <w:link w:val="1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uiPriority w:val="99"/>
    <w:rPr>
      <w:b/>
      <w:bCs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Текст примечания1"/>
    <w:basedOn w:val="1"/>
    <w:next w:val="7"/>
    <w:link w:val="12"/>
    <w:semiHidden/>
    <w:unhideWhenUsed/>
    <w:uiPriority w:val="99"/>
    <w:pPr>
      <w:spacing w:line="240" w:lineRule="auto"/>
    </w:pPr>
    <w:rPr>
      <w:sz w:val="20"/>
      <w:szCs w:val="20"/>
    </w:rPr>
  </w:style>
  <w:style w:type="character" w:customStyle="1" w:styleId="12">
    <w:name w:val="Текст примечания Знак"/>
    <w:basedOn w:val="2"/>
    <w:link w:val="11"/>
    <w:semiHidden/>
    <w:uiPriority w:val="99"/>
    <w:rPr>
      <w:sz w:val="20"/>
      <w:szCs w:val="20"/>
    </w:rPr>
  </w:style>
  <w:style w:type="character" w:customStyle="1" w:styleId="13">
    <w:name w:val="Текст примечания Знак1"/>
    <w:basedOn w:val="2"/>
    <w:link w:val="7"/>
    <w:semiHidden/>
    <w:uiPriority w:val="99"/>
    <w:rPr>
      <w:sz w:val="20"/>
      <w:szCs w:val="20"/>
    </w:rPr>
  </w:style>
  <w:style w:type="character" w:customStyle="1" w:styleId="14">
    <w:name w:val="Текст выноски Знак"/>
    <w:basedOn w:val="2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15">
    <w:name w:val="Тема примечания Знак"/>
    <w:basedOn w:val="13"/>
    <w:link w:val="8"/>
    <w:semiHidden/>
    <w:uiPriority w:val="99"/>
    <w:rPr>
      <w:b/>
      <w:bCs/>
      <w:sz w:val="20"/>
      <w:szCs w:val="20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styleId="17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994</Words>
  <Characters>5672</Characters>
  <Lines>47</Lines>
  <Paragraphs>13</Paragraphs>
  <TotalTime>427</TotalTime>
  <ScaleCrop>false</ScaleCrop>
  <LinksUpToDate>false</LinksUpToDate>
  <CharactersWithSpaces>6653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2022-09-28T10:56:00Z</dcterms:created>
  <dc:creator>Alexey Lud</dc:creator>
  <cp:lastModifiedBy>Дима Грибовский</cp:lastModifiedBy>
  <dcterms:modified xsi:type="dcterms:W3CDTF">2022-12-14T17:16:10Z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3C1D94FCB779497098CA27EF9E70FC74</vt:lpwstr>
  </property>
</Properties>
</file>