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C778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EB53F3A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A477EFF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3DFB7E7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89F0CC1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8B9416C" w14:textId="77777777" w:rsidR="0022603B" w:rsidRDefault="0022603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0FA8FF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1D31389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9A11A87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48389E1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54D589A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4CD9F3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51F620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5C01F8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1C4407D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0EADA7F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CD00DF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2FA73079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7 семестр</w:t>
      </w:r>
    </w:p>
    <w:p w14:paraId="3BFB540B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«КМиАД»</w:t>
      </w:r>
    </w:p>
    <w:p w14:paraId="33D40BC7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8D4ACB4" w14:textId="77777777" w:rsidR="0022603B" w:rsidRDefault="0022603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1F2664F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B4BB447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24FB785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7405E34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B6AD883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D0121E2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F7DC487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E93852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C22945B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5A2367B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B10FB35" w14:textId="77777777" w:rsidR="0022603B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7581D0A8" w14:textId="77777777" w:rsidR="0022603B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102EA3E9" w14:textId="77777777" w:rsidR="0022603B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</w:p>
    <w:p w14:paraId="6852E441" w14:textId="6728EB8B" w:rsidR="0022603B" w:rsidRPr="00454585" w:rsidRDefault="00454585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Иваненко И. Л.</w:t>
      </w:r>
    </w:p>
    <w:p w14:paraId="4F0B7DCF" w14:textId="77777777" w:rsidR="0022603B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6E65322" w14:textId="77777777" w:rsidR="0022603B" w:rsidRDefault="00000000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Чичурин А. В.</w:t>
      </w:r>
    </w:p>
    <w:p w14:paraId="4D0FE62A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5FDB68A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50D1CF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48DA779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95EAC6B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0094816" w14:textId="77777777" w:rsidR="0022603B" w:rsidRDefault="002260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F1F24D8" w14:textId="77777777" w:rsidR="0022603B" w:rsidRDefault="0022603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D55CCB" w14:textId="77777777" w:rsidR="0022603B" w:rsidRDefault="0000000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 w14:paraId="5C55B5A1" w14:textId="77777777" w:rsidR="0022603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Статистический анализ данных</w:t>
      </w:r>
    </w:p>
    <w:p w14:paraId="5F25D22E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FD0FBE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Wolfram Language объединяет многие аспекты статистического анализа данных, от получения и изучения данных до построения высококачественных моделей и вывода последствий. </w:t>
      </w:r>
    </w:p>
    <w:p w14:paraId="2F51CE7B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6B1215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Wolfram Language предоставляет несколько способов получения данных, начиная со встроенных кураторских источников данных, импорта из различных форматов файлов или подключения к базам данных. Базовая обработка данных, включая вычисление статистических величин, сглаживание, тестирование и визуализацию, дает первый уровень анализа. </w:t>
      </w:r>
    </w:p>
    <w:p w14:paraId="56A1A1D2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C9C83D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Добавляя в микс модели, такие как модели распределения или регрессии, можно ответить на более широкий круг вопросов анализа или даже предоставить возможности прогнозирования.</w:t>
      </w:r>
    </w:p>
    <w:p w14:paraId="05138290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847CD8" w14:textId="77777777" w:rsidR="0022603B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Описательная статистика</w:t>
      </w:r>
    </w:p>
    <w:p w14:paraId="6DB63C96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Описательные статистические функции Wolfram Language работают как на явных данных, так и на символьных представлениях статистических распределений. </w:t>
      </w:r>
    </w:p>
    <w:p w14:paraId="033F49B2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FAE73D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явными данными функции регулярно обрабатывают огромные наборы данных, которые могут содержать не только числа, но и символьные элементы, представляющие, например, параметризованные или неизвестные данные.</w:t>
      </w:r>
    </w:p>
    <w:p w14:paraId="0D85E422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8DB614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статистические программы используются для генерации случайных чисел и массивов данных с ними. Для отдельных псевдослучайных реальных чисел предусмотрена функция RandomReal[]. При каждом обращении к этой функции генерируется случайное (точнее, псевдослучайное) число в интервале от 0 до 1 с равномерным распределением. Функция RandomReal[xmin, xmax] генерирует случайное число в заданном интервале изменения переменной x.</w:t>
      </w:r>
    </w:p>
    <w:p w14:paraId="2B8F1347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367DB" w14:textId="77777777" w:rsidR="0022603B" w:rsidRDefault="00000000">
      <w:pPr>
        <w:spacing w:after="0"/>
      </w:pPr>
      <w:r>
        <w:rPr>
          <w:noProof/>
        </w:rPr>
        <w:drawing>
          <wp:inline distT="0" distB="0" distL="114300" distR="114300" wp14:anchorId="4EBDAB08" wp14:editId="5D57412C">
            <wp:extent cx="5933440" cy="663575"/>
            <wp:effectExtent l="0" t="0" r="10160" b="698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06F6" w14:textId="77777777" w:rsidR="0022603B" w:rsidRDefault="0022603B">
      <w:pPr>
        <w:spacing w:after="0"/>
      </w:pPr>
    </w:p>
    <w:p w14:paraId="285BF35F" w14:textId="77777777" w:rsidR="0022603B" w:rsidRDefault="000000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местоположения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943B7B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BAD1D2" w14:textId="77777777" w:rsidR="0022603B" w:rsidRPr="00454585" w:rsidRDefault="0000000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 местоположения описывает, где находятся данные. Наиболее </w:t>
      </w:r>
      <w:r w:rsidRPr="00454585">
        <w:rPr>
          <w:rFonts w:ascii="Times New Roman" w:hAnsi="Times New Roman" w:cs="Times New Roman"/>
          <w:sz w:val="28"/>
          <w:szCs w:val="28"/>
        </w:rPr>
        <w:t>распространённые</w:t>
      </w:r>
      <w:r>
        <w:rPr>
          <w:rFonts w:ascii="Times New Roman" w:hAnsi="Times New Roman" w:cs="Times New Roman"/>
          <w:sz w:val="28"/>
          <w:szCs w:val="28"/>
        </w:rPr>
        <w:t xml:space="preserve"> функции включают меры центральной </w:t>
      </w:r>
      <w:r>
        <w:rPr>
          <w:rFonts w:ascii="Times New Roman" w:hAnsi="Times New Roman" w:cs="Times New Roman"/>
          <w:sz w:val="28"/>
          <w:szCs w:val="28"/>
        </w:rPr>
        <w:lastRenderedPageBreak/>
        <w:t>тенденции, такие как среднее и медиана.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] указывает местоположение, перед которым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C2B11" wp14:editId="0BBD3592">
            <wp:extent cx="411480" cy="152400"/>
            <wp:effectExtent l="0" t="0" r="7620" b="0"/>
            <wp:docPr id="34" name="Рисунок 34" descr="https://reference.wolfram.com/language/tutorial/Files/NumericalOperationsOnData.en/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https://reference.wolfram.com/language/tutorial/Files/NumericalOperationsOnData.en/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лежит процент данных. Другими словами, 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дает такое значение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CE865" wp14:editId="0E2C5A0A">
            <wp:extent cx="68580" cy="152400"/>
            <wp:effectExtent l="0" t="0" r="7620" b="0"/>
            <wp:docPr id="33" name="Рисунок 33" descr="https://reference.wolfram.com/language/tutorial/Files/NumericalOperationsOnData.en/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https://reference.wolfram.com/language/tutorial/Files/NumericalOperationsOnData.en/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что вероятность, которая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6E21C" wp14:editId="0F9D3A05">
            <wp:extent cx="403860" cy="152400"/>
            <wp:effectExtent l="0" t="0" r="0" b="0"/>
            <wp:docPr id="32" name="Рисунок 32" descr="https://reference.wolfram.com/language/tutorial/Files/NumericalOperationsOnData.en/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https://reference.wolfram.com/language/tutorial/Files/NumericalOperationsOnData.en/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меньше или равна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7903C" wp14:editId="0BF50D0A">
            <wp:extent cx="76200" cy="152400"/>
            <wp:effectExtent l="0" t="0" r="0" b="0"/>
            <wp:docPr id="31" name="Рисунок 31" descr="https://reference.wolfram.com/language/tutorial/Files/NumericalOperationsOnData.en/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https://reference.wolfram.com/language/tutorial/Files/NumericalOperationsOnData.en/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и вероятность, которая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1F7CC" wp14:editId="0D8C2BAC">
            <wp:extent cx="403860" cy="152400"/>
            <wp:effectExtent l="0" t="0" r="0" b="0"/>
            <wp:docPr id="30" name="Рисунок 30" descr="https://reference.wolfram.com/language/tutorial/Files/NumericalOperationsOnData.en/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https://reference.wolfram.com/language/tutorial/Files/NumericalOperationsOnData.en/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больше или равна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421CD" wp14:editId="634197C7">
            <wp:extent cx="76200" cy="152400"/>
            <wp:effectExtent l="0" t="0" r="0" b="0"/>
            <wp:docPr id="29" name="Рисунок 29" descr="https://reference.wolfram.com/language/tutorial/Files/NumericalOperationsOnData.en/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https://reference.wolfram.com/language/tutorial/Files/NumericalOperationsOnData.en/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053F5" w14:textId="77777777" w:rsidR="0022603B" w:rsidRDefault="0000000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списка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среднее </w:t>
      </w:r>
      <w:hyperlink r:id="rId13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значение Mean</w:t>
        </w:r>
      </w:hyperlink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] определяется как   </w:t>
      </w:r>
      <w:r>
        <w:rPr>
          <w:noProof/>
        </w:rPr>
        <w:drawing>
          <wp:inline distT="0" distB="0" distL="0" distR="0" wp14:anchorId="6668931E" wp14:editId="54E0E055">
            <wp:extent cx="1296670" cy="198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134" cy="2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1C2B6" w14:textId="77777777" w:rsidR="0022603B" w:rsidRDefault="0022603B">
      <w:pPr>
        <w:spacing w:after="0"/>
        <w:ind w:left="708"/>
      </w:pPr>
    </w:p>
    <w:p w14:paraId="69477863" w14:textId="77777777" w:rsidR="0022603B" w:rsidRDefault="0000000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20AEF13" wp14:editId="08828FB6">
            <wp:extent cx="4029075" cy="773430"/>
            <wp:effectExtent l="0" t="0" r="9525" b="381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579C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07480039" w14:textId="77777777" w:rsidR="0022603B" w:rsidRDefault="0000000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Медиана </w:t>
      </w:r>
      <w:hyperlink r:id="rId16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Median</w:t>
        </w:r>
      </w:hyperlink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] эффективно дает значение в середине отсортированной версии 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>. Его часто считают более надежной мерой центра распределения, чем среднее, поскольку оно меньше зависит от отдаленных значений.</w:t>
      </w:r>
    </w:p>
    <w:p w14:paraId="703D4A9E" w14:textId="77777777" w:rsidR="0022603B" w:rsidRDefault="00000000">
      <w:pPr>
        <w:spacing w:after="0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648D46" w14:textId="77777777" w:rsidR="0022603B" w:rsidRDefault="0000000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3CFEA7F" wp14:editId="2A63D883">
            <wp:extent cx="4154805" cy="738505"/>
            <wp:effectExtent l="0" t="0" r="5715" b="825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BC9F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2D2C40" w14:textId="77777777" w:rsidR="0022603B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дисперсии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StandartDeviation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078344" w14:textId="77777777" w:rsidR="0022603B" w:rsidRDefault="002260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43B6D2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дисперсии обобщает разброс или распространение данных. Большинство из этих функций описывают отклонение от определенного местоположения. Например, дисперсия является мерой отклонения от среднего значения, а стандартное отклонение — это просто квадратный корень дисперсии.</w:t>
      </w:r>
    </w:p>
    <w:p w14:paraId="67C97E83" w14:textId="77777777" w:rsidR="0022603B" w:rsidRPr="00454585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75AD5" w14:textId="77777777" w:rsidR="0022603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Дисперсия </w:t>
      </w:r>
      <w:hyperlink r:id="rId18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Variance</w:t>
        </w:r>
      </w:hyperlink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] определяется как</w:t>
      </w:r>
      <w:r>
        <w:rPr>
          <w:noProof/>
        </w:rPr>
        <w:drawing>
          <wp:inline distT="0" distB="0" distL="0" distR="0" wp14:anchorId="5375F347" wp14:editId="6F02D4E4">
            <wp:extent cx="2461260" cy="218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148" cy="2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 для реальных данных.</w:t>
      </w:r>
    </w:p>
    <w:p w14:paraId="0D345ECB" w14:textId="77777777" w:rsidR="0022603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AAE1075" wp14:editId="62BA4C6B">
            <wp:extent cx="3933825" cy="807085"/>
            <wp:effectExtent l="0" t="0" r="13335" b="63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5B2D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27A77D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Стандартное отклонение </w:t>
      </w:r>
      <w:hyperlink r:id="rId21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StandardDeviation</w:t>
        </w:r>
      </w:hyperlink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] определяется как.</w:t>
      </w:r>
      <w:r>
        <w:t xml:space="preserve"> </w:t>
      </w:r>
      <w:r>
        <w:rPr>
          <w:noProof/>
        </w:rPr>
        <w:drawing>
          <wp:inline distT="0" distB="0" distL="0" distR="0" wp14:anchorId="20127EA3" wp14:editId="0090FDEC">
            <wp:extent cx="1082040" cy="2311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344" cy="2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2D98" w14:textId="77777777" w:rsidR="0022603B" w:rsidRDefault="00000000">
      <w:pPr>
        <w:pStyle w:val="ListParagraph"/>
        <w:ind w:left="-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569FDE1" wp14:editId="5E3D94F4">
            <wp:extent cx="5401945" cy="687070"/>
            <wp:effectExtent l="0" t="0" r="8255" b="1397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E91F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52405A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в списке считаются выбранными случайным образом в соответствии с некоторым распределением вероятностей, то среднее дает оценку того, где находится центр распределения, в то время как стандартное отклонение дает оценку того, насколько широка дисперсия в распределении.</w:t>
      </w:r>
    </w:p>
    <w:p w14:paraId="6A7B7A5C" w14:textId="77777777" w:rsidR="0022603B" w:rsidRDefault="002260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20812" w14:textId="77777777" w:rsidR="0022603B" w:rsidRDefault="000000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Quartiles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CC5C8D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7680A" w14:textId="77777777" w:rsidR="0022603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B882F60" wp14:editId="328E74CE">
            <wp:extent cx="3574415" cy="593725"/>
            <wp:effectExtent l="0" t="0" r="6985" b="63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00CD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EA903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3D14A" wp14:editId="5F20BE2D">
            <wp:extent cx="76200" cy="152400"/>
            <wp:effectExtent l="0" t="0" r="0" b="0"/>
            <wp:docPr id="22" name="Рисунок 22" descr="https://reference.wolfram.com/language/tutorial/Files/NumericalOperationsOnData.en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s://reference.wolfram.com/language/tutorial/Files/NumericalOperationsOnData.en/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Й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квантиль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список]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]эффективно дает значение пути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CAA54" wp14:editId="7A8F1428">
            <wp:extent cx="76200" cy="152400"/>
            <wp:effectExtent l="0" t="0" r="0" b="0"/>
            <wp:docPr id="21" name="Рисунок 21" descr="https://reference.wolfram.com/language/tutorial/Files/NumericalOperationsOnData.en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https://reference.wolfram.com/language/tutorial/Files/NumericalOperationsOnData.en/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через отсортированную версию 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6D1B4" w14:textId="77777777" w:rsidR="0022603B" w:rsidRDefault="00000000">
      <w:pPr>
        <w:pStyle w:val="ListParagraph"/>
      </w:pPr>
      <w:r>
        <w:rPr>
          <w:noProof/>
        </w:rPr>
        <w:drawing>
          <wp:inline distT="0" distB="0" distL="114300" distR="114300" wp14:anchorId="5E0532D9" wp14:editId="087C9377">
            <wp:extent cx="4106545" cy="1466850"/>
            <wp:effectExtent l="0" t="0" r="8255" b="1143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9260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873841" w14:textId="77777777" w:rsidR="0022603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5E51D" w14:textId="77777777" w:rsidR="0022603B" w:rsidRDefault="000000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Символические особенности дистрибутивов(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CharacteristFunction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B358A9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5D1E0A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Дистрибутивы представлены в символической форме.</w:t>
      </w:r>
    </w:p>
    <w:p w14:paraId="14564CE3" w14:textId="77777777" w:rsidR="0022603B" w:rsidRDefault="0022603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D05F7B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PDF[dist,x]вычисляет массовую функцию при x, если x является числовым значением, и в противном случае оставляет функцию в символьной форме, когда это возможно.</w:t>
      </w:r>
    </w:p>
    <w:p w14:paraId="4DEBC24E" w14:textId="77777777" w:rsidR="0022603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E31ED89" wp14:editId="4C72682D">
            <wp:extent cx="5823585" cy="3490595"/>
            <wp:effectExtent l="0" t="0" r="1333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1542" w14:textId="77777777" w:rsidR="0022603B" w:rsidRDefault="0022603B">
      <w:pPr>
        <w:pStyle w:val="ListParagraph"/>
        <w:ind w:left="-737"/>
        <w:rPr>
          <w:rFonts w:ascii="Times New Roman" w:hAnsi="Times New Roman" w:cs="Times New Roman"/>
          <w:sz w:val="28"/>
          <w:szCs w:val="28"/>
        </w:rPr>
      </w:pPr>
    </w:p>
    <w:p w14:paraId="145E6689" w14:textId="77777777" w:rsidR="0022603B" w:rsidRDefault="00000000">
      <w:pPr>
        <w:pStyle w:val="ListParagraph"/>
        <w:ind w:leftChars="-400" w:left="-88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CharacteristFunction</w:t>
      </w:r>
      <w:r>
        <w:rPr>
          <w:noProof/>
        </w:rPr>
        <w:drawing>
          <wp:inline distT="0" distB="0" distL="114300" distR="114300" wp14:anchorId="5C136428" wp14:editId="6EF63C41">
            <wp:extent cx="6415405" cy="1050925"/>
            <wp:effectExtent l="0" t="0" r="63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5C48" w14:textId="77777777" w:rsidR="0022603B" w:rsidRDefault="0022603B">
      <w:pPr>
        <w:ind w:left="-1587"/>
        <w:rPr>
          <w:rFonts w:ascii="Times New Roman" w:hAnsi="Times New Roman" w:cs="Times New Roman"/>
          <w:sz w:val="28"/>
          <w:szCs w:val="28"/>
        </w:rPr>
      </w:pPr>
    </w:p>
    <w:p w14:paraId="3130E6B6" w14:textId="77777777" w:rsidR="0022603B" w:rsidRDefault="000000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Статистическая визуализация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Histogram&amp;Plot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0FA291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DC7555" w14:textId="77777777" w:rsidR="0022603B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данных часто представляются гистограммами по столбцам или строками. Если массив одномерный — его представляют столбиковыми гистограммами. При этом данные по горизонтали разбиваются на N участков по числу столбцов (или строк) будущей гистограммы. В каждом из частичных участков подсчитывается сумма данных — число, и оно определяет высоту (или длину) столбца. Таким образом, проводится первичная статистическая обработка данных.</w:t>
      </w:r>
    </w:p>
    <w:p w14:paraId="2A8E23DC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A026A91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9BF06A1" w14:textId="77777777" w:rsidR="0022603B" w:rsidRDefault="00000000">
      <w:pPr>
        <w:pStyle w:val="ListParagraph"/>
        <w:ind w:left="-158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7726EC3" wp14:editId="7C10376E">
            <wp:extent cx="2874645" cy="2017395"/>
            <wp:effectExtent l="0" t="0" r="571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</w:rPr>
        <w:drawing>
          <wp:inline distT="0" distB="0" distL="114300" distR="114300" wp14:anchorId="152B7C43" wp14:editId="404ACF36">
            <wp:extent cx="3144520" cy="2019300"/>
            <wp:effectExtent l="0" t="0" r="1016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330A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A8FDB1" w14:textId="77777777" w:rsidR="0022603B" w:rsidRDefault="00000000">
      <w:pPr>
        <w:pStyle w:val="ListParagraph"/>
        <w:ind w:left="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0FC1F4A" wp14:editId="3349171A">
            <wp:extent cx="4449445" cy="2791460"/>
            <wp:effectExtent l="0" t="0" r="63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6144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B5521C" w14:textId="77777777" w:rsidR="0022603B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Дискретные распределения</w:t>
      </w:r>
    </w:p>
    <w:p w14:paraId="731BBEEE" w14:textId="77777777" w:rsidR="0022603B" w:rsidRDefault="002260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78AA99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описанные здесь, являются одними из наиболее часто используемых дискретных одномерных статистических распределений. Можно вычислить их плотности, средние значения, дисперсии и другие связанные свойства. Сами дистрибутивы представлены в символической форме</w:t>
      </w:r>
      <w:r w:rsidRPr="00454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[param 1,param2,...]. Такие функции, как Mean, которые дают свойства статистических распределений, принимают символьное представление распределения в качестве аргумента.</w:t>
      </w:r>
    </w:p>
    <w:p w14:paraId="5235660E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9902F2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общих дискретных статистических распределений можно понять, рассмотрев последовательность испытаний, каждое из которых имеет два возможных исхода, например, успех и неудачу.</w:t>
      </w:r>
    </w:p>
    <w:p w14:paraId="3A12F247" w14:textId="77777777" w:rsidR="0022603B" w:rsidRDefault="0022603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E56B02" w14:textId="77777777" w:rsidR="0022603B" w:rsidRDefault="0022603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46DDB5" w14:textId="77777777" w:rsidR="0022603B" w:rsidRDefault="0022603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B42227" w14:textId="77777777" w:rsidR="0022603B" w:rsidRDefault="0022603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EEAE4" w14:textId="77777777" w:rsidR="0022603B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BinomialDitribution</w:t>
      </w:r>
    </w:p>
    <w:p w14:paraId="3AD5F390" w14:textId="77777777" w:rsidR="0022603B" w:rsidRDefault="0022603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DA0C6" w14:textId="77777777" w:rsidR="0022603B" w:rsidRDefault="0000000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Биномиальное распределение[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]— распределение числа успехов, которые происходят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испытаниях, где вероятность успеха в каждом испытании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D8E05" w14:textId="77777777" w:rsidR="0022603B" w:rsidRPr="00454585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B7E113B" w14:textId="77777777" w:rsidR="0022603B" w:rsidRDefault="00000000">
      <w:pPr>
        <w:pStyle w:val="ListParagraph"/>
        <w:ind w:left="11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6080349" wp14:editId="4C72BBE5">
            <wp:extent cx="4329430" cy="880110"/>
            <wp:effectExtent l="0" t="0" r="13970" b="381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636" w14:textId="77777777" w:rsidR="0022603B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C3273F" w14:textId="77777777" w:rsidR="0022603B" w:rsidRDefault="000000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GeometricDistribution</w:t>
      </w:r>
    </w:p>
    <w:p w14:paraId="74C58FB9" w14:textId="77777777" w:rsidR="0022603B" w:rsidRDefault="002260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27A55D" w14:textId="77777777" w:rsidR="0022603B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Геометрическое распределение[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] — это распределение общего числа испытаний до первого успеха, где вероятность успеха в каждом испытании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FD60C" w14:textId="77777777" w:rsidR="0022603B" w:rsidRDefault="0022603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AC36E77" w14:textId="77777777" w:rsidR="0022603B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689F18C1" wp14:editId="3A8598C7">
            <wp:extent cx="5935980" cy="915035"/>
            <wp:effectExtent l="0" t="0" r="7620" b="146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987B" w14:textId="77777777" w:rsidR="0022603B" w:rsidRDefault="0022603B">
      <w:pPr>
        <w:pStyle w:val="ListParagraph"/>
        <w:ind w:left="0"/>
      </w:pPr>
    </w:p>
    <w:p w14:paraId="5EF38AF0" w14:textId="77777777" w:rsidR="0022603B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25F460" w14:textId="77777777" w:rsidR="0022603B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Задача_1</w:t>
      </w:r>
    </w:p>
    <w:p w14:paraId="0B1CE2E4" w14:textId="77777777" w:rsidR="0022603B" w:rsidRDefault="002260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38FA66" w14:textId="3E6D2DD5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данных о средней температуре в двух городах — </w:t>
      </w:r>
      <w:r w:rsidR="00454585">
        <w:rPr>
          <w:rFonts w:ascii="Times New Roman" w:hAnsi="Times New Roman" w:cs="Times New Roman"/>
          <w:sz w:val="28"/>
          <w:szCs w:val="28"/>
        </w:rPr>
        <w:t>Дублин</w:t>
      </w:r>
      <w:r w:rsidRPr="00454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54585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EB1664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удобнее оказались сдвоенные горизонтальные гистограммы. </w:t>
      </w:r>
    </w:p>
    <w:p w14:paraId="47C6AD34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Левая гистограмма относится к одному городу, правая — к другому.</w:t>
      </w:r>
    </w:p>
    <w:p w14:paraId="2BEF8A8B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1FA2CA7E" w14:textId="13750FD3" w:rsidR="0022603B" w:rsidRDefault="00454585">
      <w:pPr>
        <w:spacing w:after="0"/>
        <w:ind w:left="-907"/>
        <w:rPr>
          <w:rFonts w:ascii="Times New Roman" w:hAnsi="Times New Roman" w:cs="Times New Roman"/>
          <w:sz w:val="28"/>
          <w:szCs w:val="28"/>
        </w:rPr>
      </w:pPr>
      <w:r w:rsidRPr="00454585">
        <w:rPr>
          <w:noProof/>
        </w:rPr>
        <w:drawing>
          <wp:inline distT="0" distB="0" distL="0" distR="0" wp14:anchorId="3316FBF8" wp14:editId="3A2E0B52">
            <wp:extent cx="5940425" cy="3578225"/>
            <wp:effectExtent l="0" t="0" r="3175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F00" w14:textId="77777777" w:rsidR="0022603B" w:rsidRDefault="0022603B">
      <w:pPr>
        <w:rPr>
          <w:rFonts w:ascii="Times New Roman" w:hAnsi="Times New Roman" w:cs="Times New Roman"/>
          <w:b/>
          <w:sz w:val="28"/>
          <w:szCs w:val="28"/>
        </w:rPr>
      </w:pPr>
    </w:p>
    <w:p w14:paraId="652F5AEC" w14:textId="77777777" w:rsidR="0022603B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Задача_2</w:t>
      </w:r>
    </w:p>
    <w:p w14:paraId="64C00D76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6D16021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часто группируются в некоторых областях, объединяющих их по определенным признакам. Такие области данных называют кластерами.</w:t>
      </w:r>
    </w:p>
    <w:p w14:paraId="196199EC" w14:textId="77777777" w:rsidR="0022603B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результате ниже показана кластеризация рандомно сгенерированного графа. Выявление кластеров в данном случае ,например, разбиение клиентов</w:t>
      </w:r>
      <w:r>
        <w:rPr>
          <w:rFonts w:ascii="Times New Roman" w:hAnsi="Times New Roman" w:cs="Times New Roman"/>
          <w:sz w:val="28"/>
          <w:szCs w:val="28"/>
        </w:rPr>
        <w:br/>
        <w:t>всемирной сети на сообщества, имеющие сходные интересы и имеющие близкое географическое положение, может увеличить производительность сервисов в сети; нахождение сообществ покупателей со схожими интересами и анализ покупок, совершенных ими, позволяет эффективно строить рекомендации; кластеризация больших графов позволяет строить эффективную визуализацию и быстро находить пути в графе.</w:t>
      </w:r>
    </w:p>
    <w:p w14:paraId="505AB498" w14:textId="77777777" w:rsidR="0022603B" w:rsidRDefault="0022603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2CF1E75" w14:textId="0C04D255" w:rsidR="0022603B" w:rsidRDefault="00454585">
      <w:pPr>
        <w:spacing w:after="0"/>
        <w:ind w:left="-1474"/>
        <w:jc w:val="center"/>
        <w:rPr>
          <w:rFonts w:ascii="Times New Roman" w:hAnsi="Times New Roman" w:cs="Times New Roman"/>
          <w:sz w:val="28"/>
          <w:szCs w:val="28"/>
        </w:rPr>
      </w:pPr>
      <w:r w:rsidRPr="004545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05C0BA" wp14:editId="67BF5BBC">
            <wp:extent cx="3681439" cy="6157958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61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648" w14:textId="77777777" w:rsidR="0022603B" w:rsidRDefault="00000000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398AD196" w14:textId="77777777" w:rsidR="0022603B" w:rsidRDefault="00000000">
      <w:pPr>
        <w:spacing w:before="9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провёл статистический анализ данных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Wolfram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1D9741A2" w14:textId="77777777" w:rsidR="0022603B" w:rsidRDefault="0022603B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sectPr w:rsidR="00226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2C40" w14:textId="77777777" w:rsidR="00FA0283" w:rsidRDefault="00FA0283">
      <w:pPr>
        <w:spacing w:line="240" w:lineRule="auto"/>
      </w:pPr>
      <w:r>
        <w:separator/>
      </w:r>
    </w:p>
  </w:endnote>
  <w:endnote w:type="continuationSeparator" w:id="0">
    <w:p w14:paraId="1C80C213" w14:textId="77777777" w:rsidR="00FA0283" w:rsidRDefault="00FA0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179E" w14:textId="77777777" w:rsidR="00FA0283" w:rsidRDefault="00FA0283">
      <w:pPr>
        <w:spacing w:after="0"/>
      </w:pPr>
      <w:r>
        <w:separator/>
      </w:r>
    </w:p>
  </w:footnote>
  <w:footnote w:type="continuationSeparator" w:id="0">
    <w:p w14:paraId="08ABEDF4" w14:textId="77777777" w:rsidR="00FA0283" w:rsidRDefault="00FA02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DE7"/>
    <w:multiLevelType w:val="multilevel"/>
    <w:tmpl w:val="00CA6DE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7FD"/>
    <w:multiLevelType w:val="multilevel"/>
    <w:tmpl w:val="13A547F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3C6A"/>
    <w:multiLevelType w:val="multilevel"/>
    <w:tmpl w:val="49533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9096">
    <w:abstractNumId w:val="2"/>
  </w:num>
  <w:num w:numId="2" w16cid:durableId="1072043697">
    <w:abstractNumId w:val="0"/>
  </w:num>
  <w:num w:numId="3" w16cid:durableId="83796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33"/>
    <w:rsid w:val="001636CC"/>
    <w:rsid w:val="001853C4"/>
    <w:rsid w:val="00224664"/>
    <w:rsid w:val="0022603B"/>
    <w:rsid w:val="00274951"/>
    <w:rsid w:val="00294515"/>
    <w:rsid w:val="00295024"/>
    <w:rsid w:val="00311533"/>
    <w:rsid w:val="00351000"/>
    <w:rsid w:val="0037515C"/>
    <w:rsid w:val="00407AF6"/>
    <w:rsid w:val="0041049A"/>
    <w:rsid w:val="00445D11"/>
    <w:rsid w:val="00454585"/>
    <w:rsid w:val="00456FC4"/>
    <w:rsid w:val="00554A8F"/>
    <w:rsid w:val="00620A08"/>
    <w:rsid w:val="00630F49"/>
    <w:rsid w:val="006E62FF"/>
    <w:rsid w:val="007362CB"/>
    <w:rsid w:val="007B26BA"/>
    <w:rsid w:val="007F0FDF"/>
    <w:rsid w:val="008E3671"/>
    <w:rsid w:val="00973C70"/>
    <w:rsid w:val="00977998"/>
    <w:rsid w:val="00A1639C"/>
    <w:rsid w:val="00A71B9C"/>
    <w:rsid w:val="00AC58B6"/>
    <w:rsid w:val="00C80B8F"/>
    <w:rsid w:val="00CC3856"/>
    <w:rsid w:val="00CF539E"/>
    <w:rsid w:val="00D6584C"/>
    <w:rsid w:val="00D726F2"/>
    <w:rsid w:val="00DB679A"/>
    <w:rsid w:val="00E322A7"/>
    <w:rsid w:val="00E90742"/>
    <w:rsid w:val="00EC56CE"/>
    <w:rsid w:val="00F26C27"/>
    <w:rsid w:val="00F65AA4"/>
    <w:rsid w:val="00F968F5"/>
    <w:rsid w:val="00FA0283"/>
    <w:rsid w:val="130B3C58"/>
    <w:rsid w:val="18ED1F7E"/>
    <w:rsid w:val="195231E5"/>
    <w:rsid w:val="2BBA5C3E"/>
    <w:rsid w:val="3DDA43B0"/>
    <w:rsid w:val="5C5F0994"/>
    <w:rsid w:val="732E5BA7"/>
    <w:rsid w:val="784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B822"/>
  <w15:docId w15:val="{3A56BE4C-816E-428F-8E36-C280341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1">
    <w:name w:val="Текст примечания1"/>
    <w:basedOn w:val="Normal"/>
    <w:next w:val="CommentText"/>
    <w:link w:val="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1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ference.wolfram.com/language/ref/Mean.html" TargetMode="External"/><Relationship Id="rId18" Type="http://schemas.openxmlformats.org/officeDocument/2006/relationships/hyperlink" Target="https://reference.wolfram.com/language/ref/Variance.html" TargetMode="External"/><Relationship Id="rId26" Type="http://schemas.openxmlformats.org/officeDocument/2006/relationships/image" Target="media/image16.png"/><Relationship Id="rId21" Type="http://schemas.openxmlformats.org/officeDocument/2006/relationships/hyperlink" Target="https://reference.wolfram.com/language/ref/StandardDeviation.html" TargetMode="External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reference.wolfram.com/language/ref/Median.htm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Lud</dc:creator>
  <cp:lastModifiedBy>Ivan Ivanenko</cp:lastModifiedBy>
  <cp:revision>10</cp:revision>
  <dcterms:created xsi:type="dcterms:W3CDTF">2022-09-28T10:56:00Z</dcterms:created>
  <dcterms:modified xsi:type="dcterms:W3CDTF">2022-12-19T13:22:00Z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3C1D94FCB779497098CA27EF9E70FC74</vt:lpwstr>
  </property>
</Properties>
</file>