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0"/>
      </w:pPr>
    </w:p>
    <w:p>
      <w:pPr>
        <w:spacing w:after="60"/>
        <w:jc w:val="center"/>
      </w:pPr>
      <w:r>
        <w:rPr>
          <w:b/>
          <w:bCs/>
          <w:color w:val="2E5C8A"/>
          <w:sz w:val="28"/>
          <w:szCs w:val="28"/>
        </w:rPr>
        <w:t xml:space="preserve">HIVE CONSULT</w:t>
      </w:r>
    </w:p>
    <w:p>
      <w:pPr>
        <w:spacing w:after="600"/>
        <w:jc w:val="center"/>
      </w:pPr>
      <w:r>
        <w:rPr>
          <w:color w:val="555555"/>
          <w:sz w:val="22"/>
          <w:szCs w:val="22"/>
        </w:rPr>
        <w:t xml:space="preserve">Digital Forensics Laboratory, Accra</w:t>
      </w:r>
    </w:p>
    <w:p>
      <w:pPr>
        <w:spacing w:after="200"/>
        <w:jc w:val="center"/>
      </w:pPr>
      <w:r>
        <w:rPr>
          <w:b/>
          <w:bCs/>
          <w:sz w:val="36"/>
          <w:szCs w:val="36"/>
        </w:rPr>
        <w:t xml:space="preserve">DIGITAL FORENSIC INVESTIGATION REPORT</w:t>
      </w:r>
    </w:p>
    <w:p>
      <w:pPr>
        <w:spacing w:after="600"/>
        <w:jc w:val="center"/>
      </w:pPr>
      <w:r>
        <w:rPr>
          <w:sz w:val="26"/>
          <w:szCs w:val="26"/>
        </w:rPr>
        <w:t xml:space="preserve">Operation “Dirty Ledger” — Financial Fraud &amp; Money Laundering Investigation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rPr>
          <w:tblHeader/>
        </w:trPr>
        <w:tc>
          <w:tcPr>
            <w:tcW w:type="dxa" w:w="3120"/>
            <w:tcBorders>
              <w:top w:val="single" w:color="CCCCCC" w:sz="1"/>
              <w:left w:val="single" w:color="CCCCCC" w:sz="1"/>
              <w:bottom w:val="single" w:color="CCCCCC" w:sz="1"/>
              <w:right w:val="single" w:color="CCCCCC" w:sz="1"/>
            </w:tcBorders>
            <w:shd w:fill="2E5C8A" w:val="clear"/>
            <w:tcMar>
              <w:top w:type="dxa" w:w="80"/>
              <w:left w:type="dxa" w:w="120"/>
              <w:bottom w:type="dxa" w:w="80"/>
              <w:right w:type="dxa" w:w="120"/>
            </w:tcMar>
          </w:tcPr>
          <w:p>
            <w:r>
              <w:rPr>
                <w:b/>
                <w:bCs/>
                <w:color w:val="FFFFFF"/>
                <w:sz w:val="20"/>
                <w:szCs w:val="20"/>
              </w:rPr>
              <w:t xml:space="preserve">Field</w:t>
            </w:r>
          </w:p>
        </w:tc>
        <w:tc>
          <w:tcPr>
            <w:tcW w:type="dxa" w:w="6240"/>
            <w:tcBorders>
              <w:top w:val="single" w:color="CCCCCC" w:sz="1"/>
              <w:left w:val="single" w:color="CCCCCC" w:sz="1"/>
              <w:bottom w:val="single" w:color="CCCCCC" w:sz="1"/>
              <w:right w:val="single" w:color="CCCCCC" w:sz="1"/>
            </w:tcBorders>
            <w:shd w:fill="2E5C8A" w:val="clear"/>
            <w:tcMar>
              <w:top w:type="dxa" w:w="80"/>
              <w:left w:type="dxa" w:w="120"/>
              <w:bottom w:type="dxa" w:w="80"/>
              <w:right w:type="dxa" w:w="120"/>
            </w:tcMar>
          </w:tcPr>
          <w:p>
            <w:r>
              <w:rPr>
                <w:b/>
                <w:bCs/>
                <w:color w:val="FFFFFF"/>
                <w:sz w:val="20"/>
                <w:szCs w:val="20"/>
              </w:rPr>
              <w:t xml:space="preserve">Detail</w:t>
            </w:r>
          </w:p>
        </w:tc>
      </w:tr>
      <w:tr>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Case Reference</w:t>
            </w:r>
          </w:p>
        </w:tc>
        <w:tc>
          <w:tcPr>
            <w:tcW w:type="dxa" w:w="62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DIGITAL-FORENSICS-CTF-LAB / Dirty Ledger - Financial Fraud Case</w:t>
            </w:r>
          </w:p>
        </w:tc>
      </w:tr>
      <w:tr>
        <w:tc>
          <w:tcPr>
            <w:tcW w:type="dxa" w:w="3120"/>
            <w:tcBorders>
              <w:top w:val="single" w:color="CCCCCC" w:sz="1"/>
              <w:left w:val="single" w:color="CCCCCC" w:sz="1"/>
              <w:bottom w:val="single" w:color="CCCCCC" w:sz="1"/>
              <w:right w:val="single" w:color="CCCCCC" w:sz="1"/>
            </w:tcBorders>
            <w:shd w:fill="EEF3F8" w:val="clear"/>
            <w:tcMar>
              <w:top w:type="dxa" w:w="60"/>
              <w:left w:type="dxa" w:w="120"/>
              <w:bottom w:type="dxa" w:w="60"/>
              <w:right w:type="dxa" w:w="120"/>
            </w:tcMar>
          </w:tcPr>
          <w:p>
            <w:r>
              <w:rPr>
                <w:sz w:val="20"/>
                <w:szCs w:val="20"/>
              </w:rPr>
              <w:t xml:space="preserve">Primary Suspect</w:t>
            </w:r>
          </w:p>
        </w:tc>
        <w:tc>
          <w:tcPr>
            <w:tcW w:type="dxa" w:w="6240"/>
            <w:tcBorders>
              <w:top w:val="single" w:color="CCCCCC" w:sz="1"/>
              <w:left w:val="single" w:color="CCCCCC" w:sz="1"/>
              <w:bottom w:val="single" w:color="CCCCCC" w:sz="1"/>
              <w:right w:val="single" w:color="CCCCCC" w:sz="1"/>
            </w:tcBorders>
            <w:shd w:fill="EEF3F8" w:val="clear"/>
            <w:tcMar>
              <w:top w:type="dxa" w:w="60"/>
              <w:left w:type="dxa" w:w="120"/>
              <w:bottom w:type="dxa" w:w="60"/>
              <w:right w:type="dxa" w:w="120"/>
            </w:tcMar>
          </w:tcPr>
          <w:p>
            <w:r>
              <w:rPr>
                <w:sz w:val="20"/>
                <w:szCs w:val="20"/>
              </w:rPr>
              <w:t xml:space="preserve">Paul Addo</w:t>
            </w:r>
          </w:p>
        </w:tc>
      </w:tr>
      <w:tr>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Front Company (Search Site)</w:t>
            </w:r>
          </w:p>
        </w:tc>
        <w:tc>
          <w:tcPr>
            <w:tcW w:type="dxa" w:w="62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Delta Ventures Ltd</w:t>
            </w:r>
          </w:p>
        </w:tc>
      </w:tr>
      <w:tr>
        <w:tc>
          <w:tcPr>
            <w:tcW w:type="dxa" w:w="3120"/>
            <w:tcBorders>
              <w:top w:val="single" w:color="CCCCCC" w:sz="1"/>
              <w:left w:val="single" w:color="CCCCCC" w:sz="1"/>
              <w:bottom w:val="single" w:color="CCCCCC" w:sz="1"/>
              <w:right w:val="single" w:color="CCCCCC" w:sz="1"/>
            </w:tcBorders>
            <w:shd w:fill="EEF3F8" w:val="clear"/>
            <w:tcMar>
              <w:top w:type="dxa" w:w="60"/>
              <w:left w:type="dxa" w:w="120"/>
              <w:bottom w:type="dxa" w:w="60"/>
              <w:right w:type="dxa" w:w="120"/>
            </w:tcMar>
          </w:tcPr>
          <w:p>
            <w:r>
              <w:rPr>
                <w:sz w:val="20"/>
                <w:szCs w:val="20"/>
              </w:rPr>
              <w:t xml:space="preserve">Date of Seizure</w:t>
            </w:r>
          </w:p>
        </w:tc>
        <w:tc>
          <w:tcPr>
            <w:tcW w:type="dxa" w:w="6240"/>
            <w:tcBorders>
              <w:top w:val="single" w:color="CCCCCC" w:sz="1"/>
              <w:left w:val="single" w:color="CCCCCC" w:sz="1"/>
              <w:bottom w:val="single" w:color="CCCCCC" w:sz="1"/>
              <w:right w:val="single" w:color="CCCCCC" w:sz="1"/>
            </w:tcBorders>
            <w:shd w:fill="EEF3F8" w:val="clear"/>
            <w:tcMar>
              <w:top w:type="dxa" w:w="60"/>
              <w:left w:type="dxa" w:w="120"/>
              <w:bottom w:type="dxa" w:w="60"/>
              <w:right w:type="dxa" w:w="120"/>
            </w:tcMar>
          </w:tcPr>
          <w:p>
            <w:r>
              <w:rPr>
                <w:sz w:val="20"/>
                <w:szCs w:val="20"/>
              </w:rPr>
              <w:t xml:space="preserve">15 March 2025</w:t>
            </w:r>
          </w:p>
        </w:tc>
      </w:tr>
      <w:tr>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Investigating Agency</w:t>
            </w:r>
          </w:p>
        </w:tc>
        <w:tc>
          <w:tcPr>
            <w:tcW w:type="dxa" w:w="62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Ghana Financial Intelligence Centre (FIC)</w:t>
            </w:r>
          </w:p>
        </w:tc>
      </w:tr>
      <w:tr>
        <w:tc>
          <w:tcPr>
            <w:tcW w:type="dxa" w:w="3120"/>
            <w:tcBorders>
              <w:top w:val="single" w:color="CCCCCC" w:sz="1"/>
              <w:left w:val="single" w:color="CCCCCC" w:sz="1"/>
              <w:bottom w:val="single" w:color="CCCCCC" w:sz="1"/>
              <w:right w:val="single" w:color="CCCCCC" w:sz="1"/>
            </w:tcBorders>
            <w:shd w:fill="EEF3F8" w:val="clear"/>
            <w:tcMar>
              <w:top w:type="dxa" w:w="60"/>
              <w:left w:type="dxa" w:w="120"/>
              <w:bottom w:type="dxa" w:w="60"/>
              <w:right w:type="dxa" w:w="120"/>
            </w:tcMar>
          </w:tcPr>
          <w:p>
            <w:r>
              <w:rPr>
                <w:sz w:val="20"/>
                <w:szCs w:val="20"/>
              </w:rPr>
              <w:t xml:space="preserve">Forensic Laboratory</w:t>
            </w:r>
          </w:p>
        </w:tc>
        <w:tc>
          <w:tcPr>
            <w:tcW w:type="dxa" w:w="6240"/>
            <w:tcBorders>
              <w:top w:val="single" w:color="CCCCCC" w:sz="1"/>
              <w:left w:val="single" w:color="CCCCCC" w:sz="1"/>
              <w:bottom w:val="single" w:color="CCCCCC" w:sz="1"/>
              <w:right w:val="single" w:color="CCCCCC" w:sz="1"/>
            </w:tcBorders>
            <w:shd w:fill="EEF3F8" w:val="clear"/>
            <w:tcMar>
              <w:top w:type="dxa" w:w="60"/>
              <w:left w:type="dxa" w:w="120"/>
              <w:bottom w:type="dxa" w:w="60"/>
              <w:right w:type="dxa" w:w="120"/>
            </w:tcMar>
          </w:tcPr>
          <w:p>
            <w:r>
              <w:rPr>
                <w:sz w:val="20"/>
                <w:szCs w:val="20"/>
              </w:rPr>
              <w:t xml:space="preserve">HIVE CONSULT Digital Forensics Laboratory, Accra</w:t>
            </w:r>
          </w:p>
        </w:tc>
      </w:tr>
      <w:tr>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Evidence Item</w:t>
            </w:r>
          </w:p>
        </w:tc>
        <w:tc>
          <w:tcPr>
            <w:tcW w:type="dxa" w:w="62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Laptop computer (E01 forensic image), Autopsy analysis</w:t>
            </w:r>
          </w:p>
        </w:tc>
      </w:tr>
      <w:tr>
        <w:tc>
          <w:tcPr>
            <w:tcW w:type="dxa" w:w="3120"/>
            <w:tcBorders>
              <w:top w:val="single" w:color="CCCCCC" w:sz="1"/>
              <w:left w:val="single" w:color="CCCCCC" w:sz="1"/>
              <w:bottom w:val="single" w:color="CCCCCC" w:sz="1"/>
              <w:right w:val="single" w:color="CCCCCC" w:sz="1"/>
            </w:tcBorders>
            <w:shd w:fill="EEF3F8" w:val="clear"/>
            <w:tcMar>
              <w:top w:type="dxa" w:w="60"/>
              <w:left w:type="dxa" w:w="120"/>
              <w:bottom w:type="dxa" w:w="60"/>
              <w:right w:type="dxa" w:w="120"/>
            </w:tcMar>
          </w:tcPr>
          <w:p>
            <w:r>
              <w:rPr>
                <w:sz w:val="20"/>
                <w:szCs w:val="20"/>
              </w:rPr>
              <w:t xml:space="preserve">Report Status</w:t>
            </w:r>
          </w:p>
        </w:tc>
        <w:tc>
          <w:tcPr>
            <w:tcW w:type="dxa" w:w="6240"/>
            <w:tcBorders>
              <w:top w:val="single" w:color="CCCCCC" w:sz="1"/>
              <w:left w:val="single" w:color="CCCCCC" w:sz="1"/>
              <w:bottom w:val="single" w:color="CCCCCC" w:sz="1"/>
              <w:right w:val="single" w:color="CCCCCC" w:sz="1"/>
            </w:tcBorders>
            <w:shd w:fill="EEF3F8" w:val="clear"/>
            <w:tcMar>
              <w:top w:type="dxa" w:w="60"/>
              <w:left w:type="dxa" w:w="120"/>
              <w:bottom w:type="dxa" w:w="60"/>
              <w:right w:type="dxa" w:w="120"/>
            </w:tcMar>
          </w:tcPr>
          <w:p>
            <w:r>
              <w:rPr>
                <w:sz w:val="20"/>
                <w:szCs w:val="20"/>
              </w:rPr>
              <w:t xml:space="preserve">Draft — for internal review</w:t>
            </w:r>
          </w:p>
        </w:tc>
      </w:tr>
    </w:tbl>
    <w:p>
      <w:r>
        <w:br w:type="page"/>
      </w:r>
    </w:p>
    <w:p>
      <w:pPr>
        <w:pStyle w:val="Heading1"/>
      </w:pPr>
      <w: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pPr>
      <w:r>
        <w:t xml:space="preserve">Executive Summary</w:t>
      </w:r>
    </w:p>
    <w:p>
      <w:pPr>
        <w:spacing w:after="120"/>
      </w:pPr>
      <w:r>
        <w:t xml:space="preserve">This report documents the findings of a digital forensic examination conducted on a laptop computer seized on 15 March 2025 from the premises of Delta Ventures Ltd, pursuant to a search and seizure order issued in connection with a coordinated money laundering investigation by the Ghana Financial Intelligence Centre (FIC). The laptop, belonging to the primary suspect Paul Addo, was forensically acquired as an E01 disk image and examined using Autopsy at HIVE CONSULT Digital Forensics Laboratory, Accra.</w:t>
      </w:r>
    </w:p>
    <w:p>
      <w:pPr>
        <w:spacing w:after="120"/>
      </w:pPr>
      <w:r>
        <w:t xml:space="preserve">The examination recovered extensive evidence of a structured money laundering operation spanning at least two financial cycles (2024 and Q1 2025), involving multiple front companies, a network of named associates with defined operational roles, falsified invoicing, structured cash deposits designed to evade Financial Intelligence Centre reporting thresholds, international wire transfers to Dubai (UAE) and Limassol (Cyprus), and direct corruption of a Senior Compliance Officer at the FIC to suppress a regulatory query.</w:t>
      </w:r>
    </w:p>
    <w:p>
      <w:pPr>
        <w:spacing w:after="120"/>
      </w:pPr>
      <w:r>
        <w:t xml:space="preserve">Evidence was recovered across WhatsApp communications, financial spreadsheets, falsified invoices, email correspondence, ProtonMail encrypted communications, Dropbox cloud-sync artifacts, browser search history, and saved browser credentials. The evidence is highly cross-corroborated: key figures (notably the Q1 2025 target of GH¢500,000 and actual processed amount of GH¢487,000, and the offshore total of USD 105,000) appear consistently across at least three independent artifact categories.</w:t>
      </w:r>
    </w:p>
    <w:p>
      <w:pPr>
        <w:spacing w:after="120"/>
      </w:pPr>
      <w:r>
        <w:t xml:space="preserve">Key findings include:</w:t>
      </w:r>
    </w:p>
    <w:p>
      <w:pPr>
        <w:pStyle w:val="ListParagraph"/>
        <w:numPr>
          <w:ilvl w:val="0"/>
          <w:numId w:val="2"/>
        </w:numPr>
        <w:spacing w:after="60"/>
      </w:pPr>
      <w:r>
        <w:t xml:space="preserve">A hierarchical criminal network with a concealed superior (“Boss”) directing operations via Proton Mail, and at least five named subordinates with defined roles (financial processing, offshore transfers, cash collection, and intermediary bribery delivery).</w:t>
      </w:r>
    </w:p>
    <w:p>
      <w:pPr>
        <w:pStyle w:val="ListParagraph"/>
        <w:numPr>
          <w:ilvl w:val="0"/>
          <w:numId w:val="2"/>
        </w:numPr>
        <w:spacing w:after="60"/>
      </w:pPr>
      <w:r>
        <w:t xml:space="preserve">Three front companies — Delta Ventures Ltd, Gyimah Construction &amp; Supplies, and West Coast Logistics Ltd — used to issue 14 falsified invoices totalling GH¢677,000 in Q1 2025 alone.</w:t>
      </w:r>
    </w:p>
    <w:p>
      <w:pPr>
        <w:pStyle w:val="ListParagraph"/>
        <w:numPr>
          <w:ilvl w:val="0"/>
          <w:numId w:val="2"/>
        </w:numPr>
        <w:spacing w:after="60"/>
      </w:pPr>
      <w:r>
        <w:t xml:space="preserve">Structured (“smurfed”) cash deposits kept below GH¢9,500 per transaction, a figure traced directly to a browser search for the FIC reporting threshold.</w:t>
      </w:r>
    </w:p>
    <w:p>
      <w:pPr>
        <w:pStyle w:val="ListParagraph"/>
        <w:numPr>
          <w:ilvl w:val="0"/>
          <w:numId w:val="2"/>
        </w:numPr>
        <w:spacing w:after="60"/>
      </w:pPr>
      <w:r>
        <w:t xml:space="preserve">Two completed international wire transfers totalling USD 105,000 to Dubai and Cyprus, disguised as “consultancy” and “software licensing” fees.</w:t>
      </w:r>
    </w:p>
    <w:p>
      <w:pPr>
        <w:pStyle w:val="ListParagraph"/>
        <w:numPr>
          <w:ilvl w:val="0"/>
          <w:numId w:val="2"/>
        </w:numPr>
        <w:spacing w:after="60"/>
      </w:pPr>
      <w:r>
        <w:t xml:space="preserve">Direct, documented bribery of a named FIC Senior Compliance Officer (GH¢5,000 per quarter) resulting in the withdrawal of regulatory query TRK-2025-0118.</w:t>
      </w:r>
    </w:p>
    <w:p>
      <w:pPr>
        <w:pStyle w:val="ListParagraph"/>
        <w:numPr>
          <w:ilvl w:val="0"/>
          <w:numId w:val="2"/>
        </w:numPr>
        <w:spacing w:after="60"/>
      </w:pPr>
      <w:r>
        <w:t xml:space="preserve">Evidence of attempted (and largely unsuccessful) anti-forensic activity, including instructions to delete WhatsApp messages, a browser search for evidence-wiping software, and an order to destroy a physical receipt linking cash collections to Delta Ventures Ltd.</w:t>
      </w:r>
    </w:p>
    <w:p>
      <w:pPr>
        <w:pStyle w:val="ListParagraph"/>
        <w:numPr>
          <w:ilvl w:val="0"/>
          <w:numId w:val="2"/>
        </w:numPr>
        <w:spacing w:after="60"/>
      </w:pPr>
      <w:r>
        <w:t xml:space="preserve">Evidence of a prior-year (2024) iteration of the same scheme, indicating an ongoing, recurring operation rather than an isolated incident.</w:t>
      </w:r>
    </w:p>
    <w:p>
      <w:pPr>
        <w:spacing w:after="120"/>
      </w:pPr>
      <w:r>
        <w:t xml:space="preserve">The findings below are organised according to the 23 investigation tasks set out in the case briefing, across six sections: Image Integrity &amp; Filesystem (A), WhatsApp Evidence (B), Financial Documents (C), Email &amp; Cloud Evidence (D), Browser &amp; Anti-Forensics (E), and Timeline &amp; Analysis (F).</w:t>
      </w:r>
    </w:p>
    <w:p>
      <w:r>
        <w:br w:type="page"/>
      </w:r>
    </w:p>
    <w:p>
      <w:pPr>
        <w:pStyle w:val="Heading1"/>
      </w:pPr>
      <w:r>
        <w:t xml:space="preserve">Section A: Image Integrity &amp; Filesystem</w:t>
      </w:r>
    </w:p>
    <w:p>
      <w:pPr>
        <w:pStyle w:val="Heading2"/>
      </w:pPr>
      <w:r>
        <w:t xml:space="preserve">Task 1: Verify Image Integrity</w:t>
      </w:r>
    </w:p>
    <w:p>
      <w:pPr>
        <w:spacing w:after="120"/>
      </w:pPr>
      <w:r>
        <w:t xml:space="preserve">The E01 forensic image was acquired and verified prior to analysis in accordance with standard forensic procedure. Hash verification (MD5/SHA-1) should be performed on the acquired image and compared against the value recorded at the time of acquisition to confirm that no alteration occurred between seizure and examination.</w:t>
      </w:r>
    </w:p>
    <w:p>
      <w:pPr>
        <w:spacing w:after="120"/>
      </w:pPr>
      <w:r>
        <w:t xml:space="preserve">Note: hash values were not directly captured in the screenshots reviewed during this examination. It is recommended that the original acquisition hash log produced by the imaging tool (e.g., FTK Imager, Guymager) be appended to this report as Appendix A to formally document chain-of-custody integrity verification.</w:t>
      </w:r>
    </w:p>
    <w:p>
      <w:pPr>
        <w:pStyle w:val="Heading2"/>
      </w:pPr>
      <w:r>
        <w:t xml:space="preserve">Task 2: Filesystem Identification</w:t>
      </w:r>
    </w:p>
    <w:p>
      <w:pPr>
        <w:spacing w:after="120"/>
      </w:pPr>
      <w:r>
        <w:t xml:space="preserve">The disk image was processed in Autopsy and mounted successfully, with Autopsy's standard module set (Data Artifacts, Analysis Results, File Metadata, OS Account) populating correctly — consistent with an NTFS filesystem, the default for a Windows-based laptop. User profile artifacts were located under the standard Windows path structure C:\Users\paddo\..., confirming a Windows operating system with a local user account associated with the username “paddo” (Paul Addo).</w:t>
      </w:r>
    </w:p>
    <w:p>
      <w:pPr>
        <w:pStyle w:val="Heading2"/>
      </w:pPr>
      <w:r>
        <w:t xml:space="preserve">Task 3: File Count</w:t>
      </w:r>
    </w:p>
    <w:p>
      <w:pPr>
        <w:spacing w:after="120"/>
      </w:pPr>
      <w:r>
        <w:t xml:space="preserve">A full file count was not directly captured during this examination; this figure is typically obtained from the Autopsy case summary / ingest module results (File Metadata view, total file count). It is recommended that the total allocated and unallocated file counts be extracted from the Autopsy “File Views” summary and recorded here, including a breakdown of deleted/unallocated files identified (cross-reference Task 22, which identified at least 3 deleted Dropbox-synced files in the /OLD/ directory).</w:t>
      </w:r>
    </w:p>
    <w:p>
      <w:r>
        <w:br w:type="page"/>
      </w:r>
    </w:p>
    <w:p>
      <w:pPr>
        <w:pStyle w:val="Heading1"/>
      </w:pPr>
      <w:r>
        <w:t xml:space="preserve">Section B: WhatsApp Evidence</w:t>
      </w:r>
    </w:p>
    <w:p>
      <w:pPr>
        <w:pStyle w:val="Heading2"/>
      </w:pPr>
      <w:r>
        <w:t xml:space="preserve">Task 4: Locate WhatsApp Database</w:t>
      </w:r>
    </w:p>
    <w:p>
      <w:pPr>
        <w:spacing w:after="120"/>
      </w:pPr>
      <w:r>
        <w:t xml:space="preserve">The WhatsApp message database (msgstore.db, SQLite format) was located on the suspect's device partition at the standard WhatsApp installation path. The “messages” table was extracted via Autopsy's Data Artifacts module, yielding 55 entries (identifiers MSG001–MSG055) spanning the period 24 December 2024 to 10 March 2025 — a continuous communications record immediately preceding the 15 March 2025 seizure.</w:t>
      </w:r>
    </w:p>
    <w:p>
      <w:pPr>
        <w:pStyle w:val="Heading2"/>
      </w:pPr>
      <w:r>
        <w:t xml:space="preserve">Task 5: Suspect Communication Network</w:t>
      </w:r>
    </w:p>
    <w:p>
      <w:pPr>
        <w:spacing w:after="120"/>
      </w:pPr>
      <w:r>
        <w:t xml:space="preserve">Analysis of the key_remote_jid field identified four distinct communication channels involving the suspect: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2640"/>
        <w:gridCol w:w="3600"/>
      </w:tblGrid>
      <w:tr>
        <w:trPr>
          <w:tblHeader/>
        </w:trPr>
        <w:tc>
          <w:tcPr>
            <w:tcW w:type="dxa" w:w="3120"/>
            <w:tcBorders>
              <w:top w:val="single" w:color="CCCCCC" w:sz="1"/>
              <w:left w:val="single" w:color="CCCCCC" w:sz="1"/>
              <w:bottom w:val="single" w:color="CCCCCC" w:sz="1"/>
              <w:right w:val="single" w:color="CCCCCC" w:sz="1"/>
            </w:tcBorders>
            <w:shd w:fill="2E5C8A" w:val="clear"/>
            <w:tcMar>
              <w:top w:type="dxa" w:w="80"/>
              <w:left w:type="dxa" w:w="120"/>
              <w:bottom w:type="dxa" w:w="80"/>
              <w:right w:type="dxa" w:w="120"/>
            </w:tcMar>
          </w:tcPr>
          <w:p>
            <w:r>
              <w:rPr>
                <w:b/>
                <w:bCs/>
                <w:color w:val="FFFFFF"/>
                <w:sz w:val="20"/>
                <w:szCs w:val="20"/>
              </w:rPr>
              <w:t xml:space="preserve">Contact / Group JID</w:t>
            </w:r>
          </w:p>
        </w:tc>
        <w:tc>
          <w:tcPr>
            <w:tcW w:type="dxa" w:w="2640"/>
            <w:tcBorders>
              <w:top w:val="single" w:color="CCCCCC" w:sz="1"/>
              <w:left w:val="single" w:color="CCCCCC" w:sz="1"/>
              <w:bottom w:val="single" w:color="CCCCCC" w:sz="1"/>
              <w:right w:val="single" w:color="CCCCCC" w:sz="1"/>
            </w:tcBorders>
            <w:shd w:fill="2E5C8A" w:val="clear"/>
            <w:tcMar>
              <w:top w:type="dxa" w:w="80"/>
              <w:left w:type="dxa" w:w="120"/>
              <w:bottom w:type="dxa" w:w="80"/>
              <w:right w:type="dxa" w:w="120"/>
            </w:tcMar>
          </w:tcPr>
          <w:p>
            <w:r>
              <w:rPr>
                <w:b/>
                <w:bCs/>
                <w:color w:val="FFFFFF"/>
                <w:sz w:val="20"/>
                <w:szCs w:val="20"/>
              </w:rPr>
              <w:t xml:space="preserve">Identity (Inferred)</w:t>
            </w:r>
          </w:p>
        </w:tc>
        <w:tc>
          <w:tcPr>
            <w:tcW w:type="dxa" w:w="3600"/>
            <w:tcBorders>
              <w:top w:val="single" w:color="CCCCCC" w:sz="1"/>
              <w:left w:val="single" w:color="CCCCCC" w:sz="1"/>
              <w:bottom w:val="single" w:color="CCCCCC" w:sz="1"/>
              <w:right w:val="single" w:color="CCCCCC" w:sz="1"/>
            </w:tcBorders>
            <w:shd w:fill="2E5C8A" w:val="clear"/>
            <w:tcMar>
              <w:top w:type="dxa" w:w="80"/>
              <w:left w:type="dxa" w:w="120"/>
              <w:bottom w:type="dxa" w:w="80"/>
              <w:right w:type="dxa" w:w="120"/>
            </w:tcMar>
          </w:tcPr>
          <w:p>
            <w:r>
              <w:rPr>
                <w:b/>
                <w:bCs/>
                <w:color w:val="FFFFFF"/>
                <w:sz w:val="20"/>
                <w:szCs w:val="20"/>
              </w:rPr>
              <w:t xml:space="preserve">Role</w:t>
            </w:r>
          </w:p>
        </w:tc>
      </w:tr>
      <w:tr>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233283913821@s.whatsapp.net</w:t>
            </w:r>
          </w:p>
        </w:tc>
        <w:tc>
          <w:tcPr>
            <w:tcW w:type="dxa" w:w="26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Nancy</w:t>
            </w:r>
          </w:p>
        </w:tc>
        <w:tc>
          <w:tcPr>
            <w:tcW w:type="dxa" w:w="3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Microfinance-side payment processing</w:t>
            </w:r>
          </w:p>
        </w:tc>
      </w:tr>
      <w:tr>
        <w:tc>
          <w:tcPr>
            <w:tcW w:type="dxa" w:w="3120"/>
            <w:tcBorders>
              <w:top w:val="single" w:color="CCCCCC" w:sz="1"/>
              <w:left w:val="single" w:color="CCCCCC" w:sz="1"/>
              <w:bottom w:val="single" w:color="CCCCCC" w:sz="1"/>
              <w:right w:val="single" w:color="CCCCCC" w:sz="1"/>
            </w:tcBorders>
            <w:shd w:fill="EEF3F8" w:val="clear"/>
            <w:tcMar>
              <w:top w:type="dxa" w:w="60"/>
              <w:left w:type="dxa" w:w="120"/>
              <w:bottom w:type="dxa" w:w="60"/>
              <w:right w:type="dxa" w:w="120"/>
            </w:tcMar>
          </w:tcPr>
          <w:p>
            <w:r>
              <w:rPr>
                <w:sz w:val="20"/>
                <w:szCs w:val="20"/>
              </w:rPr>
              <w:t xml:space="preserve">233287462810@s.whatsapp.net</w:t>
            </w:r>
          </w:p>
        </w:tc>
        <w:tc>
          <w:tcPr>
            <w:tcW w:type="dxa" w:w="2640"/>
            <w:tcBorders>
              <w:top w:val="single" w:color="CCCCCC" w:sz="1"/>
              <w:left w:val="single" w:color="CCCCCC" w:sz="1"/>
              <w:bottom w:val="single" w:color="CCCCCC" w:sz="1"/>
              <w:right w:val="single" w:color="CCCCCC" w:sz="1"/>
            </w:tcBorders>
            <w:shd w:fill="EEF3F8" w:val="clear"/>
            <w:tcMar>
              <w:top w:type="dxa" w:w="60"/>
              <w:left w:type="dxa" w:w="120"/>
              <w:bottom w:type="dxa" w:w="60"/>
              <w:right w:type="dxa" w:w="120"/>
            </w:tcMar>
          </w:tcPr>
          <w:p>
            <w:r>
              <w:rPr>
                <w:sz w:val="20"/>
                <w:szCs w:val="20"/>
              </w:rPr>
              <w:t xml:space="preserve">Mary</w:t>
            </w:r>
          </w:p>
        </w:tc>
        <w:tc>
          <w:tcPr>
            <w:tcW w:type="dxa" w:w="3600"/>
            <w:tcBorders>
              <w:top w:val="single" w:color="CCCCCC" w:sz="1"/>
              <w:left w:val="single" w:color="CCCCCC" w:sz="1"/>
              <w:bottom w:val="single" w:color="CCCCCC" w:sz="1"/>
              <w:right w:val="single" w:color="CCCCCC" w:sz="1"/>
            </w:tcBorders>
            <w:shd w:fill="EEF3F8" w:val="clear"/>
            <w:tcMar>
              <w:top w:type="dxa" w:w="60"/>
              <w:left w:type="dxa" w:w="120"/>
              <w:bottom w:type="dxa" w:w="60"/>
              <w:right w:type="dxa" w:w="120"/>
            </w:tcMar>
          </w:tcPr>
          <w:p>
            <w:r>
              <w:rPr>
                <w:sz w:val="20"/>
                <w:szCs w:val="20"/>
              </w:rPr>
              <w:t xml:space="preserve">Offshore transfer handler (Dubai / Cyprus)</w:t>
            </w:r>
          </w:p>
        </w:tc>
      </w:tr>
      <w:tr>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233284281931@s.whatsapp.net</w:t>
            </w:r>
          </w:p>
        </w:tc>
        <w:tc>
          <w:tcPr>
            <w:tcW w:type="dxa" w:w="26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Philip</w:t>
            </w:r>
          </w:p>
        </w:tc>
        <w:tc>
          <w:tcPr>
            <w:tcW w:type="dxa" w:w="3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Cash courier / collector</w:t>
            </w:r>
          </w:p>
        </w:tc>
      </w:tr>
      <w:tr>
        <w:tc>
          <w:tcPr>
            <w:tcW w:type="dxa" w:w="3120"/>
            <w:tcBorders>
              <w:top w:val="single" w:color="CCCCCC" w:sz="1"/>
              <w:left w:val="single" w:color="CCCCCC" w:sz="1"/>
              <w:bottom w:val="single" w:color="CCCCCC" w:sz="1"/>
              <w:right w:val="single" w:color="CCCCCC" w:sz="1"/>
            </w:tcBorders>
            <w:shd w:fill="EEF3F8" w:val="clear"/>
            <w:tcMar>
              <w:top w:type="dxa" w:w="60"/>
              <w:left w:type="dxa" w:w="120"/>
              <w:bottom w:type="dxa" w:w="60"/>
              <w:right w:type="dxa" w:w="120"/>
            </w:tcMar>
          </w:tcPr>
          <w:p>
            <w:r>
              <w:rPr>
                <w:sz w:val="20"/>
                <w:szCs w:val="20"/>
              </w:rPr>
              <w:t xml:space="preserve">233283913821-1620000000@g.us</w:t>
            </w:r>
          </w:p>
        </w:tc>
        <w:tc>
          <w:tcPr>
            <w:tcW w:type="dxa" w:w="2640"/>
            <w:tcBorders>
              <w:top w:val="single" w:color="CCCCCC" w:sz="1"/>
              <w:left w:val="single" w:color="CCCCCC" w:sz="1"/>
              <w:bottom w:val="single" w:color="CCCCCC" w:sz="1"/>
              <w:right w:val="single" w:color="CCCCCC" w:sz="1"/>
            </w:tcBorders>
            <w:shd w:fill="EEF3F8" w:val="clear"/>
            <w:tcMar>
              <w:top w:type="dxa" w:w="60"/>
              <w:left w:type="dxa" w:w="120"/>
              <w:bottom w:type="dxa" w:w="60"/>
              <w:right w:type="dxa" w:w="120"/>
            </w:tcMar>
          </w:tcPr>
          <w:p>
            <w:r>
              <w:rPr>
                <w:sz w:val="20"/>
                <w:szCs w:val="20"/>
              </w:rPr>
              <w:t xml:space="preserve">“Team” group chat</w:t>
            </w:r>
          </w:p>
        </w:tc>
        <w:tc>
          <w:tcPr>
            <w:tcW w:type="dxa" w:w="3600"/>
            <w:tcBorders>
              <w:top w:val="single" w:color="CCCCCC" w:sz="1"/>
              <w:left w:val="single" w:color="CCCCCC" w:sz="1"/>
              <w:bottom w:val="single" w:color="CCCCCC" w:sz="1"/>
              <w:right w:val="single" w:color="CCCCCC" w:sz="1"/>
            </w:tcBorders>
            <w:shd w:fill="EEF3F8" w:val="clear"/>
            <w:tcMar>
              <w:top w:type="dxa" w:w="60"/>
              <w:left w:type="dxa" w:w="120"/>
              <w:bottom w:type="dxa" w:w="60"/>
              <w:right w:type="dxa" w:w="120"/>
            </w:tcMar>
          </w:tcPr>
          <w:p>
            <w:r>
              <w:rPr>
                <w:sz w:val="20"/>
                <w:szCs w:val="20"/>
              </w:rPr>
              <w:t xml:space="preserve">Operational command channel, includes “Boss”</w:t>
            </w:r>
          </w:p>
        </w:tc>
      </w:tr>
    </w:tbl>
    <w:p>
      <w:pPr>
        <w:spacing w:after="120"/>
      </w:pPr>
      <w:r>
        <w:t xml:space="preserve">The presence of a group chat with the @g.us suffix confirms a hierarchical structure above Paul Addo, with a concealed superior (“Boss”) receiving periodic financial performance summaries.</w:t>
      </w:r>
    </w:p>
    <w:p>
      <w:pPr>
        <w:pStyle w:val="Heading2"/>
      </w:pPr>
      <w:r>
        <w:t xml:space="preserve">Task 6: Role Assignments</w:t>
      </w:r>
    </w:p>
    <w:p>
      <w:pPr>
        <w:spacing w:after="120"/>
      </w:pPr>
      <w:r>
        <w:t xml:space="preserve">Based on message content across the recovered communications, the following roles within the network were established: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CCCCCC" w:sz="1"/>
              <w:left w:val="single" w:color="CCCCCC" w:sz="1"/>
              <w:bottom w:val="single" w:color="CCCCCC" w:sz="1"/>
              <w:right w:val="single" w:color="CCCCCC" w:sz="1"/>
            </w:tcBorders>
            <w:shd w:fill="2E5C8A" w:val="clear"/>
            <w:tcMar>
              <w:top w:type="dxa" w:w="80"/>
              <w:left w:type="dxa" w:w="120"/>
              <w:bottom w:type="dxa" w:w="80"/>
              <w:right w:type="dxa" w:w="120"/>
            </w:tcMar>
          </w:tcPr>
          <w:p>
            <w:r>
              <w:rPr>
                <w:b/>
                <w:bCs/>
                <w:color w:val="FFFFFF"/>
                <w:sz w:val="20"/>
                <w:szCs w:val="20"/>
              </w:rPr>
              <w:t xml:space="preserve">Individual</w:t>
            </w:r>
          </w:p>
        </w:tc>
        <w:tc>
          <w:tcPr>
            <w:tcW w:type="dxa" w:w="6960"/>
            <w:tcBorders>
              <w:top w:val="single" w:color="CCCCCC" w:sz="1"/>
              <w:left w:val="single" w:color="CCCCCC" w:sz="1"/>
              <w:bottom w:val="single" w:color="CCCCCC" w:sz="1"/>
              <w:right w:val="single" w:color="CCCCCC" w:sz="1"/>
            </w:tcBorders>
            <w:shd w:fill="2E5C8A" w:val="clear"/>
            <w:tcMar>
              <w:top w:type="dxa" w:w="80"/>
              <w:left w:type="dxa" w:w="120"/>
              <w:bottom w:type="dxa" w:w="80"/>
              <w:right w:type="dxa" w:w="120"/>
            </w:tcMar>
          </w:tcPr>
          <w:p>
            <w:r>
              <w:rPr>
                <w:b/>
                <w:bCs/>
                <w:color w:val="FFFFFF"/>
                <w:sz w:val="20"/>
                <w:szCs w:val="20"/>
              </w:rPr>
              <w:t xml:space="preserve">Role</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Paul Addo (suspect)</w:t>
            </w:r>
          </w:p>
        </w:tc>
        <w:tc>
          <w:tcPr>
            <w:tcW w:type="dxa" w:w="6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Central coordinator; primary point of contact for all subordinates and the “Boss”</w:t>
            </w:r>
          </w:p>
        </w:tc>
      </w:tr>
      <w:tr>
        <w:tc>
          <w:tcPr>
            <w:tcW w:type="dxa" w:w="2400"/>
            <w:tcBorders>
              <w:top w:val="single" w:color="CCCCCC" w:sz="1"/>
              <w:left w:val="single" w:color="CCCCCC" w:sz="1"/>
              <w:bottom w:val="single" w:color="CCCCCC" w:sz="1"/>
              <w:right w:val="single" w:color="CCCCCC" w:sz="1"/>
            </w:tcBorders>
            <w:shd w:fill="EEF3F8" w:val="clear"/>
            <w:tcMar>
              <w:top w:type="dxa" w:w="60"/>
              <w:left w:type="dxa" w:w="120"/>
              <w:bottom w:type="dxa" w:w="60"/>
              <w:right w:type="dxa" w:w="120"/>
            </w:tcMar>
          </w:tcPr>
          <w:p>
            <w:r>
              <w:rPr>
                <w:sz w:val="20"/>
                <w:szCs w:val="20"/>
              </w:rPr>
              <w:t xml:space="preserve">Nancy</w:t>
            </w:r>
          </w:p>
        </w:tc>
        <w:tc>
          <w:tcPr>
            <w:tcW w:type="dxa" w:w="6960"/>
            <w:tcBorders>
              <w:top w:val="single" w:color="CCCCCC" w:sz="1"/>
              <w:left w:val="single" w:color="CCCCCC" w:sz="1"/>
              <w:bottom w:val="single" w:color="CCCCCC" w:sz="1"/>
              <w:right w:val="single" w:color="CCCCCC" w:sz="1"/>
            </w:tcBorders>
            <w:shd w:fill="EEF3F8" w:val="clear"/>
            <w:tcMar>
              <w:top w:type="dxa" w:w="60"/>
              <w:left w:type="dxa" w:w="120"/>
              <w:bottom w:type="dxa" w:w="60"/>
              <w:right w:type="dxa" w:w="120"/>
            </w:tcMar>
          </w:tcPr>
          <w:p>
            <w:r>
              <w:rPr>
                <w:sz w:val="20"/>
                <w:szCs w:val="20"/>
              </w:rPr>
              <w:t xml:space="preserve">Processes payments through microfinance institutions (e.g., Accra Microfinance) using structured deposit references</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Mary</w:t>
            </w:r>
          </w:p>
        </w:tc>
        <w:tc>
          <w:tcPr>
            <w:tcW w:type="dxa" w:w="6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Manages offshore fund transfers (Dubai / Cyprus); also coordinates FIC bribery logistics with Paul</w:t>
            </w:r>
          </w:p>
        </w:tc>
      </w:tr>
      <w:tr>
        <w:tc>
          <w:tcPr>
            <w:tcW w:type="dxa" w:w="2400"/>
            <w:tcBorders>
              <w:top w:val="single" w:color="CCCCCC" w:sz="1"/>
              <w:left w:val="single" w:color="CCCCCC" w:sz="1"/>
              <w:bottom w:val="single" w:color="CCCCCC" w:sz="1"/>
              <w:right w:val="single" w:color="CCCCCC" w:sz="1"/>
            </w:tcBorders>
            <w:shd w:fill="EEF3F8" w:val="clear"/>
            <w:tcMar>
              <w:top w:type="dxa" w:w="60"/>
              <w:left w:type="dxa" w:w="120"/>
              <w:bottom w:type="dxa" w:w="60"/>
              <w:right w:type="dxa" w:w="120"/>
            </w:tcMar>
          </w:tcPr>
          <w:p>
            <w:r>
              <w:rPr>
                <w:sz w:val="20"/>
                <w:szCs w:val="20"/>
              </w:rPr>
              <w:t xml:space="preserve">Philip</w:t>
            </w:r>
          </w:p>
        </w:tc>
        <w:tc>
          <w:tcPr>
            <w:tcW w:type="dxa" w:w="6960"/>
            <w:tcBorders>
              <w:top w:val="single" w:color="CCCCCC" w:sz="1"/>
              <w:left w:val="single" w:color="CCCCCC" w:sz="1"/>
              <w:bottom w:val="single" w:color="CCCCCC" w:sz="1"/>
              <w:right w:val="single" w:color="CCCCCC" w:sz="1"/>
            </w:tcBorders>
            <w:shd w:fill="EEF3F8" w:val="clear"/>
            <w:tcMar>
              <w:top w:type="dxa" w:w="60"/>
              <w:left w:type="dxa" w:w="120"/>
              <w:bottom w:type="dxa" w:w="60"/>
              <w:right w:type="dxa" w:w="120"/>
            </w:tcMar>
          </w:tcPr>
          <w:p>
            <w:r>
              <w:rPr>
                <w:sz w:val="20"/>
                <w:szCs w:val="20"/>
              </w:rPr>
              <w:t xml:space="preserve">Physical cash collection/courier across multiple regions; sources falsified invoices; delivers FIC bribe payments</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Kofi</w:t>
            </w:r>
          </w:p>
        </w:tc>
        <w:tc>
          <w:tcPr>
            <w:tcW w:type="dxa" w:w="6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Subordinate courier; collected cash in Kumasi</w:t>
            </w:r>
          </w:p>
        </w:tc>
      </w:tr>
      <w:tr>
        <w:tc>
          <w:tcPr>
            <w:tcW w:type="dxa" w:w="2400"/>
            <w:tcBorders>
              <w:top w:val="single" w:color="CCCCCC" w:sz="1"/>
              <w:left w:val="single" w:color="CCCCCC" w:sz="1"/>
              <w:bottom w:val="single" w:color="CCCCCC" w:sz="1"/>
              <w:right w:val="single" w:color="CCCCCC" w:sz="1"/>
            </w:tcBorders>
            <w:shd w:fill="EEF3F8" w:val="clear"/>
            <w:tcMar>
              <w:top w:type="dxa" w:w="60"/>
              <w:left w:type="dxa" w:w="120"/>
              <w:bottom w:type="dxa" w:w="60"/>
              <w:right w:type="dxa" w:w="120"/>
            </w:tcMar>
          </w:tcPr>
          <w:p>
            <w:r>
              <w:rPr>
                <w:sz w:val="20"/>
                <w:szCs w:val="20"/>
              </w:rPr>
              <w:t xml:space="preserve">“Kweku”</w:t>
            </w:r>
          </w:p>
        </w:tc>
        <w:tc>
          <w:tcPr>
            <w:tcW w:type="dxa" w:w="6960"/>
            <w:tcBorders>
              <w:top w:val="single" w:color="CCCCCC" w:sz="1"/>
              <w:left w:val="single" w:color="CCCCCC" w:sz="1"/>
              <w:bottom w:val="single" w:color="CCCCCC" w:sz="1"/>
              <w:right w:val="single" w:color="CCCCCC" w:sz="1"/>
            </w:tcBorders>
            <w:shd w:fill="EEF3F8" w:val="clear"/>
            <w:tcMar>
              <w:top w:type="dxa" w:w="60"/>
              <w:left w:type="dxa" w:w="120"/>
              <w:bottom w:type="dxa" w:w="60"/>
              <w:right w:type="dxa" w:w="120"/>
            </w:tcMar>
          </w:tcPr>
          <w:p>
            <w:r>
              <w:rPr>
                <w:sz w:val="20"/>
                <w:szCs w:val="20"/>
              </w:rPr>
              <w:t xml:space="preserve">Intermediary who passes cash bribes from Philip to the FIC contact</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“Boss”</w:t>
            </w:r>
          </w:p>
        </w:tc>
        <w:tc>
          <w:tcPr>
            <w:tcW w:type="dxa" w:w="6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Concealed superior; sets quarterly targets and strategic direction via the group chat and Proton Mail</w:t>
            </w:r>
          </w:p>
        </w:tc>
      </w:tr>
    </w:tbl>
    <w:p>
      <w:pPr>
        <w:pStyle w:val="Heading2"/>
      </w:pPr>
      <w:r>
        <w:t xml:space="preserve">Task 7: Cash Collection Orders</w:t>
      </w:r>
    </w:p>
    <w:p>
      <w:pPr>
        <w:spacing w:after="120"/>
      </w:pPr>
      <w:r>
        <w:t xml:space="preserve">The following explicit cash collection instructions were identified in Philip's communication thread: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1900"/>
        <w:gridCol w:w="1500"/>
        <w:gridCol w:w="4260"/>
      </w:tblGrid>
      <w:tr>
        <w:trPr>
          <w:tblHeader/>
        </w:trPr>
        <w:tc>
          <w:tcPr>
            <w:tcW w:type="dxa" w:w="1700"/>
            <w:tcBorders>
              <w:top w:val="single" w:color="CCCCCC" w:sz="1"/>
              <w:left w:val="single" w:color="CCCCCC" w:sz="1"/>
              <w:bottom w:val="single" w:color="CCCCCC" w:sz="1"/>
              <w:right w:val="single" w:color="CCCCCC" w:sz="1"/>
            </w:tcBorders>
            <w:shd w:fill="2E5C8A" w:val="clear"/>
            <w:tcMar>
              <w:top w:type="dxa" w:w="80"/>
              <w:left w:type="dxa" w:w="120"/>
              <w:bottom w:type="dxa" w:w="80"/>
              <w:right w:type="dxa" w:w="120"/>
            </w:tcMar>
          </w:tcPr>
          <w:p>
            <w:r>
              <w:rPr>
                <w:b/>
                <w:bCs/>
                <w:color w:val="FFFFFF"/>
                <w:sz w:val="20"/>
                <w:szCs w:val="20"/>
              </w:rPr>
              <w:t xml:space="preserve">Approx. Date</w:t>
            </w:r>
          </w:p>
        </w:tc>
        <w:tc>
          <w:tcPr>
            <w:tcW w:type="dxa" w:w="1900"/>
            <w:tcBorders>
              <w:top w:val="single" w:color="CCCCCC" w:sz="1"/>
              <w:left w:val="single" w:color="CCCCCC" w:sz="1"/>
              <w:bottom w:val="single" w:color="CCCCCC" w:sz="1"/>
              <w:right w:val="single" w:color="CCCCCC" w:sz="1"/>
            </w:tcBorders>
            <w:shd w:fill="2E5C8A" w:val="clear"/>
            <w:tcMar>
              <w:top w:type="dxa" w:w="80"/>
              <w:left w:type="dxa" w:w="120"/>
              <w:bottom w:type="dxa" w:w="80"/>
              <w:right w:type="dxa" w:w="120"/>
            </w:tcMar>
          </w:tcPr>
          <w:p>
            <w:r>
              <w:rPr>
                <w:b/>
                <w:bCs/>
                <w:color w:val="FFFFFF"/>
                <w:sz w:val="20"/>
                <w:szCs w:val="20"/>
              </w:rPr>
              <w:t xml:space="preserve">Location</w:t>
            </w:r>
          </w:p>
        </w:tc>
        <w:tc>
          <w:tcPr>
            <w:tcW w:type="dxa" w:w="1500"/>
            <w:tcBorders>
              <w:top w:val="single" w:color="CCCCCC" w:sz="1"/>
              <w:left w:val="single" w:color="CCCCCC" w:sz="1"/>
              <w:bottom w:val="single" w:color="CCCCCC" w:sz="1"/>
              <w:right w:val="single" w:color="CCCCCC" w:sz="1"/>
            </w:tcBorders>
            <w:shd w:fill="2E5C8A" w:val="clear"/>
            <w:tcMar>
              <w:top w:type="dxa" w:w="80"/>
              <w:left w:type="dxa" w:w="120"/>
              <w:bottom w:type="dxa" w:w="80"/>
              <w:right w:type="dxa" w:w="120"/>
            </w:tcMar>
          </w:tcPr>
          <w:p>
            <w:r>
              <w:rPr>
                <w:b/>
                <w:bCs/>
                <w:color w:val="FFFFFF"/>
                <w:sz w:val="20"/>
                <w:szCs w:val="20"/>
              </w:rPr>
              <w:t xml:space="preserve">Amount</w:t>
            </w:r>
          </w:p>
        </w:tc>
        <w:tc>
          <w:tcPr>
            <w:tcW w:type="dxa" w:w="4260"/>
            <w:tcBorders>
              <w:top w:val="single" w:color="CCCCCC" w:sz="1"/>
              <w:left w:val="single" w:color="CCCCCC" w:sz="1"/>
              <w:bottom w:val="single" w:color="CCCCCC" w:sz="1"/>
              <w:right w:val="single" w:color="CCCCCC" w:sz="1"/>
            </w:tcBorders>
            <w:shd w:fill="2E5C8A" w:val="clear"/>
            <w:tcMar>
              <w:top w:type="dxa" w:w="80"/>
              <w:left w:type="dxa" w:w="120"/>
              <w:bottom w:type="dxa" w:w="80"/>
              <w:right w:type="dxa" w:w="120"/>
            </w:tcMar>
          </w:tcPr>
          <w:p>
            <w:r>
              <w:rPr>
                <w:b/>
                <w:bCs/>
                <w:color w:val="FFFFFF"/>
                <w:sz w:val="20"/>
                <w:szCs w:val="20"/>
              </w:rPr>
              <w:t xml:space="preserve">Instruction</w:t>
            </w:r>
          </w:p>
        </w:tc>
      </w:tr>
      <w:tr>
        <w:tc>
          <w:tcPr>
            <w:tcW w:type="dxa" w:w="1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15 Jan 2025</w:t>
            </w:r>
          </w:p>
        </w:tc>
        <w:tc>
          <w:tcPr>
            <w:tcW w:type="dxa" w:w="1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Tarkwa branch</w:t>
            </w:r>
          </w:p>
        </w:tc>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GH¢75,000</w:t>
            </w:r>
          </w:p>
        </w:tc>
        <w:tc>
          <w:tcPr>
            <w:tcW w:type="dxa" w:w="42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Collect cash</w:t>
            </w:r>
          </w:p>
        </w:tc>
      </w:tr>
      <w:tr>
        <w:tc>
          <w:tcPr>
            <w:tcW w:type="dxa" w:w="1700"/>
            <w:tcBorders>
              <w:top w:val="single" w:color="CCCCCC" w:sz="1"/>
              <w:left w:val="single" w:color="CCCCCC" w:sz="1"/>
              <w:bottom w:val="single" w:color="CCCCCC" w:sz="1"/>
              <w:right w:val="single" w:color="CCCCCC" w:sz="1"/>
            </w:tcBorders>
            <w:shd w:fill="EEF3F8" w:val="clear"/>
            <w:tcMar>
              <w:top w:type="dxa" w:w="60"/>
              <w:left w:type="dxa" w:w="120"/>
              <w:bottom w:type="dxa" w:w="60"/>
              <w:right w:type="dxa" w:w="120"/>
            </w:tcMar>
          </w:tcPr>
          <w:p>
            <w:r>
              <w:rPr>
                <w:sz w:val="20"/>
                <w:szCs w:val="20"/>
              </w:rPr>
              <w:t xml:space="preserve">15 Jan 2025</w:t>
            </w:r>
          </w:p>
        </w:tc>
        <w:tc>
          <w:tcPr>
            <w:tcW w:type="dxa" w:w="1900"/>
            <w:tcBorders>
              <w:top w:val="single" w:color="CCCCCC" w:sz="1"/>
              <w:left w:val="single" w:color="CCCCCC" w:sz="1"/>
              <w:bottom w:val="single" w:color="CCCCCC" w:sz="1"/>
              <w:right w:val="single" w:color="CCCCCC" w:sz="1"/>
            </w:tcBorders>
            <w:shd w:fill="EEF3F8" w:val="clear"/>
            <w:tcMar>
              <w:top w:type="dxa" w:w="60"/>
              <w:left w:type="dxa" w:w="120"/>
              <w:bottom w:type="dxa" w:w="60"/>
              <w:right w:type="dxa" w:w="120"/>
            </w:tcMar>
          </w:tcPr>
          <w:p>
            <w:r>
              <w:rPr>
                <w:sz w:val="20"/>
                <w:szCs w:val="20"/>
              </w:rPr>
              <w:t xml:space="preserve">Accra Central</w:t>
            </w:r>
          </w:p>
        </w:tc>
        <w:tc>
          <w:tcPr>
            <w:tcW w:type="dxa" w:w="1500"/>
            <w:tcBorders>
              <w:top w:val="single" w:color="CCCCCC" w:sz="1"/>
              <w:left w:val="single" w:color="CCCCCC" w:sz="1"/>
              <w:bottom w:val="single" w:color="CCCCCC" w:sz="1"/>
              <w:right w:val="single" w:color="CCCCCC" w:sz="1"/>
            </w:tcBorders>
            <w:shd w:fill="EEF3F8" w:val="clear"/>
            <w:tcMar>
              <w:top w:type="dxa" w:w="60"/>
              <w:left w:type="dxa" w:w="120"/>
              <w:bottom w:type="dxa" w:w="60"/>
              <w:right w:type="dxa" w:w="120"/>
            </w:tcMar>
          </w:tcPr>
          <w:p>
            <w:r>
              <w:rPr>
                <w:sz w:val="20"/>
                <w:szCs w:val="20"/>
              </w:rPr>
              <w:t xml:space="preserve">—</w:t>
            </w:r>
          </w:p>
        </w:tc>
        <w:tc>
          <w:tcPr>
            <w:tcW w:type="dxa" w:w="4260"/>
            <w:tcBorders>
              <w:top w:val="single" w:color="CCCCCC" w:sz="1"/>
              <w:left w:val="single" w:color="CCCCCC" w:sz="1"/>
              <w:bottom w:val="single" w:color="CCCCCC" w:sz="1"/>
              <w:right w:val="single" w:color="CCCCCC" w:sz="1"/>
            </w:tcBorders>
            <w:shd w:fill="EEF3F8" w:val="clear"/>
            <w:tcMar>
              <w:top w:type="dxa" w:w="60"/>
              <w:left w:type="dxa" w:w="120"/>
              <w:bottom w:type="dxa" w:w="60"/>
              <w:right w:type="dxa" w:w="120"/>
            </w:tcMar>
          </w:tcPr>
          <w:p>
            <w:r>
              <w:rPr>
                <w:sz w:val="20"/>
                <w:szCs w:val="20"/>
              </w:rPr>
              <w:t xml:space="preserve">Drop-off via address provided by Mary; instructed not to use own name</w:t>
            </w:r>
          </w:p>
        </w:tc>
      </w:tr>
      <w:tr>
        <w:tc>
          <w:tcPr>
            <w:tcW w:type="dxa" w:w="1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10 Feb 2025</w:t>
            </w:r>
          </w:p>
        </w:tc>
        <w:tc>
          <w:tcPr>
            <w:tcW w:type="dxa" w:w="1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Kumasi (Stanbic)</w:t>
            </w:r>
          </w:p>
        </w:tc>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GH¢55,000</w:t>
            </w:r>
          </w:p>
        </w:tc>
        <w:tc>
          <w:tcPr>
            <w:tcW w:type="dxa" w:w="42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Collected by Kofi</w:t>
            </w:r>
          </w:p>
        </w:tc>
      </w:tr>
      <w:tr>
        <w:tc>
          <w:tcPr>
            <w:tcW w:type="dxa" w:w="1700"/>
            <w:tcBorders>
              <w:top w:val="single" w:color="CCCCCC" w:sz="1"/>
              <w:left w:val="single" w:color="CCCCCC" w:sz="1"/>
              <w:bottom w:val="single" w:color="CCCCCC" w:sz="1"/>
              <w:right w:val="single" w:color="CCCCCC" w:sz="1"/>
            </w:tcBorders>
            <w:shd w:fill="EEF3F8" w:val="clear"/>
            <w:tcMar>
              <w:top w:type="dxa" w:w="60"/>
              <w:left w:type="dxa" w:w="120"/>
              <w:bottom w:type="dxa" w:w="60"/>
              <w:right w:type="dxa" w:w="120"/>
            </w:tcMar>
          </w:tcPr>
          <w:p>
            <w:r>
              <w:rPr>
                <w:sz w:val="20"/>
                <w:szCs w:val="20"/>
              </w:rPr>
              <w:t xml:space="preserve">7 Mar 2025</w:t>
            </w:r>
          </w:p>
        </w:tc>
        <w:tc>
          <w:tcPr>
            <w:tcW w:type="dxa" w:w="1900"/>
            <w:tcBorders>
              <w:top w:val="single" w:color="CCCCCC" w:sz="1"/>
              <w:left w:val="single" w:color="CCCCCC" w:sz="1"/>
              <w:bottom w:val="single" w:color="CCCCCC" w:sz="1"/>
              <w:right w:val="single" w:color="CCCCCC" w:sz="1"/>
            </w:tcBorders>
            <w:shd w:fill="EEF3F8" w:val="clear"/>
            <w:tcMar>
              <w:top w:type="dxa" w:w="60"/>
              <w:left w:type="dxa" w:w="120"/>
              <w:bottom w:type="dxa" w:w="60"/>
              <w:right w:type="dxa" w:w="120"/>
            </w:tcMar>
          </w:tcPr>
          <w:p>
            <w:r>
              <w:rPr>
                <w:sz w:val="20"/>
                <w:szCs w:val="20"/>
              </w:rPr>
              <w:t xml:space="preserve">Cape Coast</w:t>
            </w:r>
          </w:p>
        </w:tc>
        <w:tc>
          <w:tcPr>
            <w:tcW w:type="dxa" w:w="1500"/>
            <w:tcBorders>
              <w:top w:val="single" w:color="CCCCCC" w:sz="1"/>
              <w:left w:val="single" w:color="CCCCCC" w:sz="1"/>
              <w:bottom w:val="single" w:color="CCCCCC" w:sz="1"/>
              <w:right w:val="single" w:color="CCCCCC" w:sz="1"/>
            </w:tcBorders>
            <w:shd w:fill="EEF3F8" w:val="clear"/>
            <w:tcMar>
              <w:top w:type="dxa" w:w="60"/>
              <w:left w:type="dxa" w:w="120"/>
              <w:bottom w:type="dxa" w:w="60"/>
              <w:right w:type="dxa" w:w="120"/>
            </w:tcMar>
          </w:tcPr>
          <w:p>
            <w:r>
              <w:rPr>
                <w:sz w:val="20"/>
                <w:szCs w:val="20"/>
              </w:rPr>
              <w:t xml:space="preserve">GH¢40,000</w:t>
            </w:r>
          </w:p>
        </w:tc>
        <w:tc>
          <w:tcPr>
            <w:tcW w:type="dxa" w:w="4260"/>
            <w:tcBorders>
              <w:top w:val="single" w:color="CCCCCC" w:sz="1"/>
              <w:left w:val="single" w:color="CCCCCC" w:sz="1"/>
              <w:bottom w:val="single" w:color="CCCCCC" w:sz="1"/>
              <w:right w:val="single" w:color="CCCCCC" w:sz="1"/>
            </w:tcBorders>
            <w:shd w:fill="EEF3F8" w:val="clear"/>
            <w:tcMar>
              <w:top w:type="dxa" w:w="60"/>
              <w:left w:type="dxa" w:w="120"/>
              <w:bottom w:type="dxa" w:w="60"/>
              <w:right w:type="dxa" w:w="120"/>
            </w:tcMar>
          </w:tcPr>
          <w:p>
            <w:r>
              <w:rPr>
                <w:sz w:val="20"/>
                <w:szCs w:val="20"/>
              </w:rPr>
              <w:t xml:space="preserve">Scheduled for Wednesday; instructed to use coast road to avoid checkpoints</w:t>
            </w:r>
          </w:p>
        </w:tc>
      </w:tr>
    </w:tbl>
    <w:p>
      <w:pPr>
        <w:spacing w:after="120"/>
      </w:pPr>
      <w:r>
        <w:t xml:space="preserve">This pattern establishes a recurring, multi-regional cash courier operation consistent with deliberate structuring of cash deposits to remain below regulatory reporting thresholds (see Task 21, Stage 1 — Placement).</w:t>
      </w:r>
    </w:p>
    <w:p>
      <w:pPr>
        <w:pStyle w:val="Heading2"/>
      </w:pPr>
      <w:r>
        <w:t xml:space="preserve">Task 8: Evidence Destruction Intent</w:t>
      </w:r>
    </w:p>
    <w:p>
      <w:pPr>
        <w:spacing w:after="120"/>
      </w:pPr>
      <w:r>
        <w:t xml:space="preserve">Two explicit instances of evidence destruction instructions were identified within the WhatsApp dataset:</w:t>
      </w:r>
    </w:p>
    <w:p>
      <w:pPr>
        <w:pStyle w:val="ListParagraph"/>
        <w:numPr>
          <w:ilvl w:val="0"/>
          <w:numId w:val="3"/>
        </w:numPr>
        <w:spacing w:after="60"/>
      </w:pPr>
      <w:r>
        <w:t xml:space="preserve">8 January 2025 (MSG005): “Perfect. Delete these messages after reading.” — issued immediately following discussion of split-deposit instructions under reference REF-AML-2025-0041.</w:t>
      </w:r>
    </w:p>
    <w:p>
      <w:pPr>
        <w:pStyle w:val="ListParagraph"/>
        <w:numPr>
          <w:ilvl w:val="0"/>
          <w:numId w:val="3"/>
        </w:numPr>
        <w:spacing w:after="60"/>
      </w:pPr>
      <w:r>
        <w:t xml:space="preserve">15 January 2025 (MSG031): “Good. Burn the receipt.” — issued in direct response to Philip's report (MSG030) that a cash drop-off receipt had been issued under the name “Delta Ventures Ltd.”</w:t>
      </w:r>
    </w:p>
    <w:p>
      <w:pPr>
        <w:spacing w:after="120"/>
      </w:pPr>
      <w:r>
        <w:t xml:space="preserve">These two messages constitute strong evidence of consciousness of guilt and active obstruction. MSG031 in particular directly links Delta Ventures Ltd — the company at the seized premises — to a deliberately destroyed item of physical evidence, corroborating the legitimacy and relevance of the search and seizure warrant. The instruction in MSG005 was not in fact carried out in full: all 55 messages remained recoverable in the msgstore.db (see Task 22).</w:t>
      </w:r>
    </w:p>
    <w:p>
      <w:r>
        <w:br w:type="page"/>
      </w:r>
    </w:p>
    <w:p>
      <w:pPr>
        <w:pStyle w:val="Heading1"/>
      </w:pPr>
      <w:r>
        <w:t xml:space="preserve">Section C: Financial Documents</w:t>
      </w:r>
    </w:p>
    <w:p>
      <w:pPr>
        <w:pStyle w:val="Heading2"/>
      </w:pPr>
      <w:r>
        <w:t xml:space="preserve">Task 9: Master Transaction Ledger</w:t>
      </w:r>
    </w:p>
    <w:p>
      <w:pPr>
        <w:spacing w:after="120"/>
      </w:pPr>
      <w:r>
        <w:t xml:space="preserve">The file ledger_offshore_Q1.xlsx was recovered from the Dropbox-synced folder C:\Users\paddo\Dropbox\EXPORTS_2025\. The spreadsheet is internally referenced under case identifier HC-GH-2025-FF-0047 and records three international wire transfers for Q1 2025, totalling USD 105,000 (cleared transactions) against a GHS equivalent figure of 1,365,000.</w:t>
      </w:r>
    </w:p>
    <w:p>
      <w:pPr>
        <w:spacing w:after="120"/>
      </w:pPr>
      <w:r>
        <w:t xml:space="preserve">This ledger directly corroborates figures referenced independently in WhatsApp communications (MSG016, MSG024, MSG026) and in the Q1 Summary email sent via ProtonMail (PM-2025-0001), providing strong cross-source verification.</w:t>
      </w:r>
    </w:p>
    <w:p>
      <w:pPr>
        <w:pStyle w:val="Heading2"/>
      </w:pPr>
      <w:r>
        <w:t xml:space="preserve">Task 10: Offshore Routing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1700"/>
        <w:gridCol w:w="2100"/>
        <w:gridCol w:w="1700"/>
        <w:gridCol w:w="1100"/>
        <w:gridCol w:w="1660"/>
        <w:gridCol w:w="1100"/>
      </w:tblGrid>
      <w:tr>
        <w:trPr>
          <w:tblHeader/>
        </w:trPr>
        <w:tc>
          <w:tcPr>
            <w:tcW w:type="dxa" w:w="1100"/>
            <w:tcBorders>
              <w:top w:val="single" w:color="CCCCCC" w:sz="1"/>
              <w:left w:val="single" w:color="CCCCCC" w:sz="1"/>
              <w:bottom w:val="single" w:color="CCCCCC" w:sz="1"/>
              <w:right w:val="single" w:color="CCCCCC" w:sz="1"/>
            </w:tcBorders>
            <w:shd w:fill="2E5C8A" w:val="clear"/>
            <w:tcMar>
              <w:top w:type="dxa" w:w="80"/>
              <w:left w:type="dxa" w:w="120"/>
              <w:bottom w:type="dxa" w:w="80"/>
              <w:right w:type="dxa" w:w="120"/>
            </w:tcMar>
          </w:tcPr>
          <w:p>
            <w:r>
              <w:rPr>
                <w:b/>
                <w:bCs/>
                <w:color w:val="FFFFFF"/>
                <w:sz w:val="20"/>
                <w:szCs w:val="20"/>
              </w:rPr>
              <w:t xml:space="preserve">Date</w:t>
            </w:r>
          </w:p>
        </w:tc>
        <w:tc>
          <w:tcPr>
            <w:tcW w:type="dxa" w:w="1700"/>
            <w:tcBorders>
              <w:top w:val="single" w:color="CCCCCC" w:sz="1"/>
              <w:left w:val="single" w:color="CCCCCC" w:sz="1"/>
              <w:bottom w:val="single" w:color="CCCCCC" w:sz="1"/>
              <w:right w:val="single" w:color="CCCCCC" w:sz="1"/>
            </w:tcBorders>
            <w:shd w:fill="2E5C8A" w:val="clear"/>
            <w:tcMar>
              <w:top w:type="dxa" w:w="80"/>
              <w:left w:type="dxa" w:w="120"/>
              <w:bottom w:type="dxa" w:w="80"/>
              <w:right w:type="dxa" w:w="120"/>
            </w:tcMar>
          </w:tcPr>
          <w:p>
            <w:r>
              <w:rPr>
                <w:b/>
                <w:bCs/>
                <w:color w:val="FFFFFF"/>
                <w:sz w:val="20"/>
                <w:szCs w:val="20"/>
              </w:rPr>
              <w:t xml:space="preserve">TXN Reference</w:t>
            </w:r>
          </w:p>
        </w:tc>
        <w:tc>
          <w:tcPr>
            <w:tcW w:type="dxa" w:w="2100"/>
            <w:tcBorders>
              <w:top w:val="single" w:color="CCCCCC" w:sz="1"/>
              <w:left w:val="single" w:color="CCCCCC" w:sz="1"/>
              <w:bottom w:val="single" w:color="CCCCCC" w:sz="1"/>
              <w:right w:val="single" w:color="CCCCCC" w:sz="1"/>
            </w:tcBorders>
            <w:shd w:fill="2E5C8A" w:val="clear"/>
            <w:tcMar>
              <w:top w:type="dxa" w:w="80"/>
              <w:left w:type="dxa" w:w="120"/>
              <w:bottom w:type="dxa" w:w="80"/>
              <w:right w:type="dxa" w:w="120"/>
            </w:tcMar>
          </w:tcPr>
          <w:p>
            <w:r>
              <w:rPr>
                <w:b/>
                <w:bCs/>
                <w:color w:val="FFFFFF"/>
                <w:sz w:val="20"/>
                <w:szCs w:val="20"/>
              </w:rPr>
              <w:t xml:space="preserve">Beneficiary</w:t>
            </w:r>
          </w:p>
        </w:tc>
        <w:tc>
          <w:tcPr>
            <w:tcW w:type="dxa" w:w="1700"/>
            <w:tcBorders>
              <w:top w:val="single" w:color="CCCCCC" w:sz="1"/>
              <w:left w:val="single" w:color="CCCCCC" w:sz="1"/>
              <w:bottom w:val="single" w:color="CCCCCC" w:sz="1"/>
              <w:right w:val="single" w:color="CCCCCC" w:sz="1"/>
            </w:tcBorders>
            <w:shd w:fill="2E5C8A" w:val="clear"/>
            <w:tcMar>
              <w:top w:type="dxa" w:w="80"/>
              <w:left w:type="dxa" w:w="120"/>
              <w:bottom w:type="dxa" w:w="80"/>
              <w:right w:type="dxa" w:w="120"/>
            </w:tcMar>
          </w:tcPr>
          <w:p>
            <w:r>
              <w:rPr>
                <w:b/>
                <w:bCs/>
                <w:color w:val="FFFFFF"/>
                <w:sz w:val="20"/>
                <w:szCs w:val="20"/>
              </w:rPr>
              <w:t xml:space="preserve">Bank / Country</w:t>
            </w:r>
          </w:p>
        </w:tc>
        <w:tc>
          <w:tcPr>
            <w:tcW w:type="dxa" w:w="1100"/>
            <w:tcBorders>
              <w:top w:val="single" w:color="CCCCCC" w:sz="1"/>
              <w:left w:val="single" w:color="CCCCCC" w:sz="1"/>
              <w:bottom w:val="single" w:color="CCCCCC" w:sz="1"/>
              <w:right w:val="single" w:color="CCCCCC" w:sz="1"/>
            </w:tcBorders>
            <w:shd w:fill="2E5C8A" w:val="clear"/>
            <w:tcMar>
              <w:top w:type="dxa" w:w="80"/>
              <w:left w:type="dxa" w:w="120"/>
              <w:bottom w:type="dxa" w:w="80"/>
              <w:right w:type="dxa" w:w="120"/>
            </w:tcMar>
          </w:tcPr>
          <w:p>
            <w:r>
              <w:rPr>
                <w:b/>
                <w:bCs/>
                <w:color w:val="FFFFFF"/>
                <w:sz w:val="20"/>
                <w:szCs w:val="20"/>
              </w:rPr>
              <w:t xml:space="preserve">Amount (USD)</w:t>
            </w:r>
          </w:p>
        </w:tc>
        <w:tc>
          <w:tcPr>
            <w:tcW w:type="dxa" w:w="1660"/>
            <w:tcBorders>
              <w:top w:val="single" w:color="CCCCCC" w:sz="1"/>
              <w:left w:val="single" w:color="CCCCCC" w:sz="1"/>
              <w:bottom w:val="single" w:color="CCCCCC" w:sz="1"/>
              <w:right w:val="single" w:color="CCCCCC" w:sz="1"/>
            </w:tcBorders>
            <w:shd w:fill="2E5C8A" w:val="clear"/>
            <w:tcMar>
              <w:top w:type="dxa" w:w="80"/>
              <w:left w:type="dxa" w:w="120"/>
              <w:bottom w:type="dxa" w:w="80"/>
              <w:right w:type="dxa" w:w="120"/>
            </w:tcMar>
          </w:tcPr>
          <w:p>
            <w:r>
              <w:rPr>
                <w:b/>
                <w:bCs/>
                <w:color w:val="FFFFFF"/>
                <w:sz w:val="20"/>
                <w:szCs w:val="20"/>
              </w:rPr>
              <w:t xml:space="preserve">Routing Description</w:t>
            </w:r>
          </w:p>
        </w:tc>
        <w:tc>
          <w:tcPr>
            <w:tcW w:type="dxa" w:w="1100"/>
            <w:tcBorders>
              <w:top w:val="single" w:color="CCCCCC" w:sz="1"/>
              <w:left w:val="single" w:color="CCCCCC" w:sz="1"/>
              <w:bottom w:val="single" w:color="CCCCCC" w:sz="1"/>
              <w:right w:val="single" w:color="CCCCCC" w:sz="1"/>
            </w:tcBorders>
            <w:shd w:fill="2E5C8A" w:val="clear"/>
            <w:tcMar>
              <w:top w:type="dxa" w:w="80"/>
              <w:left w:type="dxa" w:w="120"/>
              <w:bottom w:type="dxa" w:w="80"/>
              <w:right w:type="dxa" w:w="120"/>
            </w:tcMar>
          </w:tcPr>
          <w:p>
            <w:r>
              <w:rPr>
                <w:b/>
                <w:bCs/>
                <w:color w:val="FFFFFF"/>
                <w:sz w:val="20"/>
                <w:szCs w:val="20"/>
              </w:rPr>
              <w:t xml:space="preserve">Status</w:t>
            </w:r>
          </w:p>
        </w:tc>
      </w:tr>
      <w:tr>
        <w:tc>
          <w:tcPr>
            <w:tcW w:type="dxa" w:w="11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08 Jan 2025</w:t>
            </w:r>
          </w:p>
        </w:tc>
        <w:tc>
          <w:tcPr>
            <w:tcW w:type="dxa" w:w="1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TXN-INTL-2025-00882</w:t>
            </w:r>
          </w:p>
        </w:tc>
        <w:tc>
          <w:tcPr>
            <w:tcW w:type="dxa" w:w="21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Al Maktoum Investment Holdings LLC</w:t>
            </w:r>
          </w:p>
        </w:tc>
        <w:tc>
          <w:tcPr>
            <w:tcW w:type="dxa" w:w="1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Emirates NBD, UAE</w:t>
            </w:r>
          </w:p>
        </w:tc>
        <w:tc>
          <w:tcPr>
            <w:tcW w:type="dxa" w:w="11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45,000</w:t>
            </w:r>
          </w:p>
        </w:tc>
        <w:tc>
          <w:tcPr>
            <w:tcW w:type="dxa" w:w="16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“Consultancy Services Q4 2024”</w:t>
            </w:r>
          </w:p>
        </w:tc>
        <w:tc>
          <w:tcPr>
            <w:tcW w:type="dxa" w:w="11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CLEARED</w:t>
            </w:r>
          </w:p>
        </w:tc>
      </w:tr>
      <w:tr>
        <w:tc>
          <w:tcPr>
            <w:tcW w:type="dxa" w:w="1100"/>
            <w:tcBorders>
              <w:top w:val="single" w:color="CCCCCC" w:sz="1"/>
              <w:left w:val="single" w:color="CCCCCC" w:sz="1"/>
              <w:bottom w:val="single" w:color="CCCCCC" w:sz="1"/>
              <w:right w:val="single" w:color="CCCCCC" w:sz="1"/>
            </w:tcBorders>
            <w:shd w:fill="EEF3F8" w:val="clear"/>
            <w:tcMar>
              <w:top w:type="dxa" w:w="60"/>
              <w:left w:type="dxa" w:w="120"/>
              <w:bottom w:type="dxa" w:w="60"/>
              <w:right w:type="dxa" w:w="120"/>
            </w:tcMar>
          </w:tcPr>
          <w:p>
            <w:r>
              <w:rPr>
                <w:sz w:val="20"/>
                <w:szCs w:val="20"/>
              </w:rPr>
              <w:t xml:space="preserve">18 Jan 2025</w:t>
            </w:r>
          </w:p>
        </w:tc>
        <w:tc>
          <w:tcPr>
            <w:tcW w:type="dxa" w:w="1700"/>
            <w:tcBorders>
              <w:top w:val="single" w:color="CCCCCC" w:sz="1"/>
              <w:left w:val="single" w:color="CCCCCC" w:sz="1"/>
              <w:bottom w:val="single" w:color="CCCCCC" w:sz="1"/>
              <w:right w:val="single" w:color="CCCCCC" w:sz="1"/>
            </w:tcBorders>
            <w:shd w:fill="EEF3F8" w:val="clear"/>
            <w:tcMar>
              <w:top w:type="dxa" w:w="60"/>
              <w:left w:type="dxa" w:w="120"/>
              <w:bottom w:type="dxa" w:w="60"/>
              <w:right w:type="dxa" w:w="120"/>
            </w:tcMar>
          </w:tcPr>
          <w:p>
            <w:r>
              <w:rPr>
                <w:sz w:val="20"/>
                <w:szCs w:val="20"/>
              </w:rPr>
              <w:t xml:space="preserve">TXN-INTL-2025-00943</w:t>
            </w:r>
          </w:p>
        </w:tc>
        <w:tc>
          <w:tcPr>
            <w:tcW w:type="dxa" w:w="2100"/>
            <w:tcBorders>
              <w:top w:val="single" w:color="CCCCCC" w:sz="1"/>
              <w:left w:val="single" w:color="CCCCCC" w:sz="1"/>
              <w:bottom w:val="single" w:color="CCCCCC" w:sz="1"/>
              <w:right w:val="single" w:color="CCCCCC" w:sz="1"/>
            </w:tcBorders>
            <w:shd w:fill="EEF3F8" w:val="clear"/>
            <w:tcMar>
              <w:top w:type="dxa" w:w="60"/>
              <w:left w:type="dxa" w:w="120"/>
              <w:bottom w:type="dxa" w:w="60"/>
              <w:right w:type="dxa" w:w="120"/>
            </w:tcMar>
          </w:tcPr>
          <w:p>
            <w:r>
              <w:rPr>
                <w:sz w:val="20"/>
                <w:szCs w:val="20"/>
              </w:rPr>
              <w:t xml:space="preserve">Limassol Trade &amp; Advisory Ltd</w:t>
            </w:r>
          </w:p>
        </w:tc>
        <w:tc>
          <w:tcPr>
            <w:tcW w:type="dxa" w:w="1700"/>
            <w:tcBorders>
              <w:top w:val="single" w:color="CCCCCC" w:sz="1"/>
              <w:left w:val="single" w:color="CCCCCC" w:sz="1"/>
              <w:bottom w:val="single" w:color="CCCCCC" w:sz="1"/>
              <w:right w:val="single" w:color="CCCCCC" w:sz="1"/>
            </w:tcBorders>
            <w:shd w:fill="EEF3F8" w:val="clear"/>
            <w:tcMar>
              <w:top w:type="dxa" w:w="60"/>
              <w:left w:type="dxa" w:w="120"/>
              <w:bottom w:type="dxa" w:w="60"/>
              <w:right w:type="dxa" w:w="120"/>
            </w:tcMar>
          </w:tcPr>
          <w:p>
            <w:r>
              <w:rPr>
                <w:sz w:val="20"/>
                <w:szCs w:val="20"/>
              </w:rPr>
              <w:t xml:space="preserve">Hellenic Bank, Cyprus</w:t>
            </w:r>
          </w:p>
        </w:tc>
        <w:tc>
          <w:tcPr>
            <w:tcW w:type="dxa" w:w="1100"/>
            <w:tcBorders>
              <w:top w:val="single" w:color="CCCCCC" w:sz="1"/>
              <w:left w:val="single" w:color="CCCCCC" w:sz="1"/>
              <w:bottom w:val="single" w:color="CCCCCC" w:sz="1"/>
              <w:right w:val="single" w:color="CCCCCC" w:sz="1"/>
            </w:tcBorders>
            <w:shd w:fill="EEF3F8" w:val="clear"/>
            <w:tcMar>
              <w:top w:type="dxa" w:w="60"/>
              <w:left w:type="dxa" w:w="120"/>
              <w:bottom w:type="dxa" w:w="60"/>
              <w:right w:type="dxa" w:w="120"/>
            </w:tcMar>
          </w:tcPr>
          <w:p>
            <w:r>
              <w:rPr>
                <w:sz w:val="20"/>
                <w:szCs w:val="20"/>
              </w:rPr>
              <w:t xml:space="preserve">60,000</w:t>
            </w:r>
          </w:p>
        </w:tc>
        <w:tc>
          <w:tcPr>
            <w:tcW w:type="dxa" w:w="1660"/>
            <w:tcBorders>
              <w:top w:val="single" w:color="CCCCCC" w:sz="1"/>
              <w:left w:val="single" w:color="CCCCCC" w:sz="1"/>
              <w:bottom w:val="single" w:color="CCCCCC" w:sz="1"/>
              <w:right w:val="single" w:color="CCCCCC" w:sz="1"/>
            </w:tcBorders>
            <w:shd w:fill="EEF3F8" w:val="clear"/>
            <w:tcMar>
              <w:top w:type="dxa" w:w="60"/>
              <w:left w:type="dxa" w:w="120"/>
              <w:bottom w:type="dxa" w:w="60"/>
              <w:right w:type="dxa" w:w="120"/>
            </w:tcMar>
          </w:tcPr>
          <w:p>
            <w:r>
              <w:rPr>
                <w:sz w:val="20"/>
                <w:szCs w:val="20"/>
              </w:rPr>
              <w:t xml:space="preserve">“Software License Fees Q4 2024”</w:t>
            </w:r>
          </w:p>
        </w:tc>
        <w:tc>
          <w:tcPr>
            <w:tcW w:type="dxa" w:w="1100"/>
            <w:tcBorders>
              <w:top w:val="single" w:color="CCCCCC" w:sz="1"/>
              <w:left w:val="single" w:color="CCCCCC" w:sz="1"/>
              <w:bottom w:val="single" w:color="CCCCCC" w:sz="1"/>
              <w:right w:val="single" w:color="CCCCCC" w:sz="1"/>
            </w:tcBorders>
            <w:shd w:fill="EEF3F8" w:val="clear"/>
            <w:tcMar>
              <w:top w:type="dxa" w:w="60"/>
              <w:left w:type="dxa" w:w="120"/>
              <w:bottom w:type="dxa" w:w="60"/>
              <w:right w:type="dxa" w:w="120"/>
            </w:tcMar>
          </w:tcPr>
          <w:p>
            <w:r>
              <w:rPr>
                <w:sz w:val="20"/>
                <w:szCs w:val="20"/>
              </w:rPr>
              <w:t xml:space="preserve">CLEARED</w:t>
            </w:r>
          </w:p>
        </w:tc>
      </w:tr>
      <w:tr>
        <w:tc>
          <w:tcPr>
            <w:tcW w:type="dxa" w:w="11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14 Feb 2025</w:t>
            </w:r>
          </w:p>
        </w:tc>
        <w:tc>
          <w:tcPr>
            <w:tcW w:type="dxa" w:w="1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TXN-INTL-2025-(pending)</w:t>
            </w:r>
          </w:p>
        </w:tc>
        <w:tc>
          <w:tcPr>
            <w:tcW w:type="dxa" w:w="21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Limassol Trade &amp; Advisory Ltd</w:t>
            </w:r>
          </w:p>
        </w:tc>
        <w:tc>
          <w:tcPr>
            <w:tcW w:type="dxa" w:w="1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Hellenic Bank, Cyprus</w:t>
            </w:r>
          </w:p>
        </w:tc>
        <w:tc>
          <w:tcPr>
            <w:tcW w:type="dxa" w:w="11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(not recorded)</w:t>
            </w:r>
          </w:p>
        </w:tc>
        <w:tc>
          <w:tcPr>
            <w:tcW w:type="dxa" w:w="16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“Q1 2025 Adjustment”</w:t>
            </w:r>
          </w:p>
        </w:tc>
        <w:tc>
          <w:tcPr>
            <w:tcW w:type="dxa" w:w="11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IN_PROGRESS</w:t>
            </w:r>
          </w:p>
        </w:tc>
      </w:tr>
    </w:tbl>
    <w:p>
      <w:pPr>
        <w:spacing w:after="120"/>
      </w:pPr>
      <w:r>
        <w:t xml:space="preserve">The two completed transfers (USD 45,000 to Dubai and USD 60,000 to Cyprus) total USD 105,000, matching the Q1 offshore figure reported to “Boss” (PM-2025-0001: “offshore USD 105k. Dubai and Cyprus confirmed.”). A third transaction to the same Cyprus beneficiary was recorded as IN_PROGRESS at the time of seizure, with no amount populated in the ledger — however, the GHS_Equivalent total column (1,365,000) is consistent with only the two cleared transactions, suggesting the third transaction's value field may be incomplete or pending entry. This third transaction should be flagged for urgent follow-up with Cypriot authorities, as it may represent funds still in transit or recoverable.</w:t>
      </w:r>
    </w:p>
    <w:p>
      <w:pPr>
        <w:spacing w:after="120"/>
      </w:pPr>
      <w:r>
        <w:t xml:space="preserve">Full wire transfer confirmations (Task 13) provide the supporting banking details: Dubai account AE070331234567890123456 (Al Maktoum Investment Holdings LLC) and Cyprus IBAN CY17002001280000001200527600 (Limassol Trade &amp; Advisory Ltd).</w:t>
      </w:r>
    </w:p>
    <w:p>
      <w:pPr>
        <w:pStyle w:val="Heading2"/>
      </w:pPr>
      <w:r>
        <w:t xml:space="preserve">Task 11: Falsified Invoices</w:t>
      </w:r>
    </w:p>
    <w:p>
      <w:pPr>
        <w:spacing w:after="120"/>
      </w:pPr>
      <w:r>
        <w:t xml:space="preserve">An email dated 20 February 2025 from mary.gyasi.finance@gmail.com to paul.addo.accragh@gmail.com (subject: “RE: EXPORTS_2025 — Docs Ready”) confirms the preparation of a complete set of falsified invoices for Q1 2025: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2340"/>
        <w:gridCol w:w="2340"/>
      </w:tblGrid>
      <w:tr>
        <w:trPr>
          <w:tblHeader/>
        </w:trPr>
        <w:tc>
          <w:tcPr>
            <w:tcW w:type="dxa" w:w="4680"/>
            <w:tcBorders>
              <w:top w:val="single" w:color="CCCCCC" w:sz="1"/>
              <w:left w:val="single" w:color="CCCCCC" w:sz="1"/>
              <w:bottom w:val="single" w:color="CCCCCC" w:sz="1"/>
              <w:right w:val="single" w:color="CCCCCC" w:sz="1"/>
            </w:tcBorders>
            <w:shd w:fill="2E5C8A" w:val="clear"/>
            <w:tcMar>
              <w:top w:type="dxa" w:w="80"/>
              <w:left w:type="dxa" w:w="120"/>
              <w:bottom w:type="dxa" w:w="80"/>
              <w:right w:type="dxa" w:w="120"/>
            </w:tcMar>
          </w:tcPr>
          <w:p>
            <w:r>
              <w:rPr>
                <w:b/>
                <w:bCs/>
                <w:color w:val="FFFFFF"/>
                <w:sz w:val="20"/>
                <w:szCs w:val="20"/>
              </w:rPr>
              <w:t xml:space="preserve">Front Company</w:t>
            </w:r>
          </w:p>
        </w:tc>
        <w:tc>
          <w:tcPr>
            <w:tcW w:type="dxa" w:w="2340"/>
            <w:tcBorders>
              <w:top w:val="single" w:color="CCCCCC" w:sz="1"/>
              <w:left w:val="single" w:color="CCCCCC" w:sz="1"/>
              <w:bottom w:val="single" w:color="CCCCCC" w:sz="1"/>
              <w:right w:val="single" w:color="CCCCCC" w:sz="1"/>
            </w:tcBorders>
            <w:shd w:fill="2E5C8A" w:val="clear"/>
            <w:tcMar>
              <w:top w:type="dxa" w:w="80"/>
              <w:left w:type="dxa" w:w="120"/>
              <w:bottom w:type="dxa" w:w="80"/>
              <w:right w:type="dxa" w:w="120"/>
            </w:tcMar>
          </w:tcPr>
          <w:p>
            <w:r>
              <w:rPr>
                <w:b/>
                <w:bCs/>
                <w:color w:val="FFFFFF"/>
                <w:sz w:val="20"/>
                <w:szCs w:val="20"/>
              </w:rPr>
              <w:t xml:space="preserve">Invoice Count</w:t>
            </w:r>
          </w:p>
        </w:tc>
        <w:tc>
          <w:tcPr>
            <w:tcW w:type="dxa" w:w="2340"/>
            <w:tcBorders>
              <w:top w:val="single" w:color="CCCCCC" w:sz="1"/>
              <w:left w:val="single" w:color="CCCCCC" w:sz="1"/>
              <w:bottom w:val="single" w:color="CCCCCC" w:sz="1"/>
              <w:right w:val="single" w:color="CCCCCC" w:sz="1"/>
            </w:tcBorders>
            <w:shd w:fill="2E5C8A" w:val="clear"/>
            <w:tcMar>
              <w:top w:type="dxa" w:w="80"/>
              <w:left w:type="dxa" w:w="120"/>
              <w:bottom w:type="dxa" w:w="80"/>
              <w:right w:type="dxa" w:w="120"/>
            </w:tcMar>
          </w:tcPr>
          <w:p>
            <w:r>
              <w:rPr>
                <w:b/>
                <w:bCs/>
                <w:color w:val="FFFFFF"/>
                <w:sz w:val="20"/>
                <w:szCs w:val="20"/>
              </w:rPr>
              <w:t xml:space="preserve">Total Value (GH¢)</w:t>
            </w:r>
          </w:p>
        </w:tc>
      </w:tr>
      <w:tr>
        <w:tc>
          <w:tcPr>
            <w:tcW w:type="dxa" w:w="4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Delta Ventures Ltd</w:t>
            </w:r>
          </w:p>
        </w:tc>
        <w:tc>
          <w:tcPr>
            <w:tcW w:type="dxa" w:w="23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6</w:t>
            </w:r>
          </w:p>
        </w:tc>
        <w:tc>
          <w:tcPr>
            <w:tcW w:type="dxa" w:w="23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312,000</w:t>
            </w:r>
          </w:p>
        </w:tc>
      </w:tr>
      <w:tr>
        <w:tc>
          <w:tcPr>
            <w:tcW w:type="dxa" w:w="4680"/>
            <w:tcBorders>
              <w:top w:val="single" w:color="CCCCCC" w:sz="1"/>
              <w:left w:val="single" w:color="CCCCCC" w:sz="1"/>
              <w:bottom w:val="single" w:color="CCCCCC" w:sz="1"/>
              <w:right w:val="single" w:color="CCCCCC" w:sz="1"/>
            </w:tcBorders>
            <w:shd w:fill="EEF3F8" w:val="clear"/>
            <w:tcMar>
              <w:top w:type="dxa" w:w="60"/>
              <w:left w:type="dxa" w:w="120"/>
              <w:bottom w:type="dxa" w:w="60"/>
              <w:right w:type="dxa" w:w="120"/>
            </w:tcMar>
          </w:tcPr>
          <w:p>
            <w:r>
              <w:rPr>
                <w:sz w:val="20"/>
                <w:szCs w:val="20"/>
              </w:rPr>
              <w:t xml:space="preserve">Gyimah Construction &amp; Supplies</w:t>
            </w:r>
          </w:p>
        </w:tc>
        <w:tc>
          <w:tcPr>
            <w:tcW w:type="dxa" w:w="2340"/>
            <w:tcBorders>
              <w:top w:val="single" w:color="CCCCCC" w:sz="1"/>
              <w:left w:val="single" w:color="CCCCCC" w:sz="1"/>
              <w:bottom w:val="single" w:color="CCCCCC" w:sz="1"/>
              <w:right w:val="single" w:color="CCCCCC" w:sz="1"/>
            </w:tcBorders>
            <w:shd w:fill="EEF3F8" w:val="clear"/>
            <w:tcMar>
              <w:top w:type="dxa" w:w="60"/>
              <w:left w:type="dxa" w:w="120"/>
              <w:bottom w:type="dxa" w:w="60"/>
              <w:right w:type="dxa" w:w="120"/>
            </w:tcMar>
          </w:tcPr>
          <w:p>
            <w:r>
              <w:rPr>
                <w:sz w:val="20"/>
                <w:szCs w:val="20"/>
              </w:rPr>
              <w:t xml:space="preserve">5</w:t>
            </w:r>
          </w:p>
        </w:tc>
        <w:tc>
          <w:tcPr>
            <w:tcW w:type="dxa" w:w="2340"/>
            <w:tcBorders>
              <w:top w:val="single" w:color="CCCCCC" w:sz="1"/>
              <w:left w:val="single" w:color="CCCCCC" w:sz="1"/>
              <w:bottom w:val="single" w:color="CCCCCC" w:sz="1"/>
              <w:right w:val="single" w:color="CCCCCC" w:sz="1"/>
            </w:tcBorders>
            <w:shd w:fill="EEF3F8" w:val="clear"/>
            <w:tcMar>
              <w:top w:type="dxa" w:w="60"/>
              <w:left w:type="dxa" w:w="120"/>
              <w:bottom w:type="dxa" w:w="60"/>
              <w:right w:type="dxa" w:w="120"/>
            </w:tcMar>
          </w:tcPr>
          <w:p>
            <w:r>
              <w:rPr>
                <w:sz w:val="20"/>
                <w:szCs w:val="20"/>
              </w:rPr>
              <w:t xml:space="preserve">218,000</w:t>
            </w:r>
          </w:p>
        </w:tc>
      </w:tr>
      <w:tr>
        <w:tc>
          <w:tcPr>
            <w:tcW w:type="dxa" w:w="4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West Coast Logistics Ltd</w:t>
            </w:r>
          </w:p>
        </w:tc>
        <w:tc>
          <w:tcPr>
            <w:tcW w:type="dxa" w:w="23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3</w:t>
            </w:r>
          </w:p>
        </w:tc>
        <w:tc>
          <w:tcPr>
            <w:tcW w:type="dxa" w:w="23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147,000</w:t>
            </w:r>
          </w:p>
        </w:tc>
      </w:tr>
      <w:tr>
        <w:tc>
          <w:tcPr>
            <w:tcW w:type="dxa" w:w="4680"/>
            <w:tcBorders>
              <w:top w:val="single" w:color="CCCCCC" w:sz="1"/>
              <w:left w:val="single" w:color="CCCCCC" w:sz="1"/>
              <w:bottom w:val="single" w:color="CCCCCC" w:sz="1"/>
              <w:right w:val="single" w:color="CCCCCC" w:sz="1"/>
            </w:tcBorders>
            <w:shd w:fill="EEF3F8" w:val="clear"/>
            <w:tcMar>
              <w:top w:type="dxa" w:w="60"/>
              <w:left w:type="dxa" w:w="120"/>
              <w:bottom w:type="dxa" w:w="60"/>
              <w:right w:type="dxa" w:w="120"/>
            </w:tcMar>
          </w:tcPr>
          <w:p>
            <w:r>
              <w:rPr>
                <w:sz w:val="20"/>
                <w:szCs w:val="20"/>
              </w:rPr>
              <w:t xml:space="preserve">TOTAL</w:t>
            </w:r>
          </w:p>
        </w:tc>
        <w:tc>
          <w:tcPr>
            <w:tcW w:type="dxa" w:w="2340"/>
            <w:tcBorders>
              <w:top w:val="single" w:color="CCCCCC" w:sz="1"/>
              <w:left w:val="single" w:color="CCCCCC" w:sz="1"/>
              <w:bottom w:val="single" w:color="CCCCCC" w:sz="1"/>
              <w:right w:val="single" w:color="CCCCCC" w:sz="1"/>
            </w:tcBorders>
            <w:shd w:fill="EEF3F8" w:val="clear"/>
            <w:tcMar>
              <w:top w:type="dxa" w:w="60"/>
              <w:left w:type="dxa" w:w="120"/>
              <w:bottom w:type="dxa" w:w="60"/>
              <w:right w:type="dxa" w:w="120"/>
            </w:tcMar>
          </w:tcPr>
          <w:p>
            <w:r>
              <w:rPr>
                <w:sz w:val="20"/>
                <w:szCs w:val="20"/>
              </w:rPr>
              <w:t xml:space="preserve">14</w:t>
            </w:r>
          </w:p>
        </w:tc>
        <w:tc>
          <w:tcPr>
            <w:tcW w:type="dxa" w:w="2340"/>
            <w:tcBorders>
              <w:top w:val="single" w:color="CCCCCC" w:sz="1"/>
              <w:left w:val="single" w:color="CCCCCC" w:sz="1"/>
              <w:bottom w:val="single" w:color="CCCCCC" w:sz="1"/>
              <w:right w:val="single" w:color="CCCCCC" w:sz="1"/>
            </w:tcBorders>
            <w:shd w:fill="EEF3F8" w:val="clear"/>
            <w:tcMar>
              <w:top w:type="dxa" w:w="60"/>
              <w:left w:type="dxa" w:w="120"/>
              <w:bottom w:type="dxa" w:w="60"/>
              <w:right w:type="dxa" w:w="120"/>
            </w:tcMar>
          </w:tcPr>
          <w:p>
            <w:r>
              <w:rPr>
                <w:sz w:val="20"/>
                <w:szCs w:val="20"/>
              </w:rPr>
              <w:t xml:space="preserve">677,000</w:t>
            </w:r>
          </w:p>
        </w:tc>
      </w:tr>
    </w:tbl>
    <w:p>
      <w:pPr>
        <w:spacing w:after="120"/>
      </w:pPr>
      <w:r>
        <w:t xml:space="preserve">The complete set was archived as Dropbox/EXPORTS_2025/falsified_invoices_Q1.zip, password-protected, with the email noting the password was “same as before” — indicating reuse of security practices from a prior laundering cycle. Individual invoice files invoice_Jan2025.pdf and invoice_Feb2025.pdf were also recovered from the same folder; the February invoice (GH¢200,000) is directly referenced in WhatsApp message MSG010 as routing “through the construction company front”, almost certainly Gyimah Construction &amp; Supplies.</w:t>
      </w:r>
    </w:p>
    <w:p>
      <w:pPr>
        <w:spacing w:after="120"/>
      </w:pPr>
      <w:r>
        <w:t xml:space="preserve">This directly fulfils the request made in MSG019 (“Can you get Gyimah to prepare falsified invoices?”), establishing a clear evidential chain from instruction to delivery.</w:t>
      </w:r>
    </w:p>
    <w:p>
      <w:pPr>
        <w:pStyle w:val="Heading2"/>
      </w:pPr>
      <w:r>
        <w:t xml:space="preserve">Task 12: Money Laundering Strategy</w:t>
      </w:r>
    </w:p>
    <w:p>
      <w:pPr>
        <w:spacing w:after="120"/>
      </w:pPr>
      <w:r>
        <w:t xml:space="preserve">The overarching laundering strategy is documented most explicitly in Boss_directives_Q1.txt (recovered from Dropbox/EXPORTS_2025/), received via ProtonMail on 3 January 2025 (message PM-2025-0005). The directive sets out seven operational rules:</w:t>
      </w:r>
    </w:p>
    <w:p>
      <w:pPr>
        <w:pStyle w:val="ListParagraph"/>
        <w:numPr>
          <w:ilvl w:val="0"/>
          <w:numId w:val="3"/>
        </w:numPr>
        <w:spacing w:after="60"/>
      </w:pPr>
      <w:r>
        <w:t xml:space="preserve">Target: GH¢500,000 “clean” by 31 March 2025.</w:t>
      </w:r>
    </w:p>
    <w:p>
      <w:pPr>
        <w:pStyle w:val="ListParagraph"/>
        <w:numPr>
          <w:ilvl w:val="0"/>
          <w:numId w:val="3"/>
        </w:numPr>
        <w:spacing w:after="60"/>
      </w:pPr>
      <w:r>
        <w:t xml:space="preserve">No single transaction to exceed GH¢9,500 (structuring below the GH¢10,000 FIC reporting threshold).</w:t>
      </w:r>
    </w:p>
    <w:p>
      <w:pPr>
        <w:pStyle w:val="ListParagraph"/>
        <w:numPr>
          <w:ilvl w:val="0"/>
          <w:numId w:val="3"/>
        </w:numPr>
        <w:spacing w:after="60"/>
      </w:pPr>
      <w:r>
        <w:t xml:space="preserve">Use existing front companies only: Delta Ventures, Gyimah, West Coast.</w:t>
      </w:r>
    </w:p>
    <w:p>
      <w:pPr>
        <w:pStyle w:val="ListParagraph"/>
        <w:numPr>
          <w:ilvl w:val="0"/>
          <w:numId w:val="3"/>
        </w:numPr>
        <w:spacing w:after="60"/>
      </w:pPr>
      <w:r>
        <w:t xml:space="preserve">Offshore routing priority: Dubai first, Cyprus for overflow.</w:t>
      </w:r>
    </w:p>
    <w:p>
      <w:pPr>
        <w:pStyle w:val="ListParagraph"/>
        <w:numPr>
          <w:ilvl w:val="0"/>
          <w:numId w:val="3"/>
        </w:numPr>
        <w:spacing w:after="60"/>
      </w:pPr>
      <w:r>
        <w:t xml:space="preserve">FIC budget: GH¢5,000 per quarter, arranged via cash through Philip.</w:t>
      </w:r>
    </w:p>
    <w:p>
      <w:pPr>
        <w:pStyle w:val="ListParagraph"/>
        <w:numPr>
          <w:ilvl w:val="0"/>
          <w:numId w:val="3"/>
        </w:numPr>
        <w:spacing w:after="60"/>
      </w:pPr>
      <w:r>
        <w:t xml:space="preserve">No phone calls regarding amounts — WhatsApp or Proton Mail only.</w:t>
      </w:r>
    </w:p>
    <w:p>
      <w:pPr>
        <w:pStyle w:val="ListParagraph"/>
        <w:numPr>
          <w:ilvl w:val="0"/>
          <w:numId w:val="3"/>
        </w:numPr>
        <w:spacing w:after="60"/>
      </w:pPr>
      <w:r>
        <w:t xml:space="preserve">Weekly status updates via Proton Mail.</w:t>
      </w:r>
    </w:p>
    <w:p>
      <w:pPr>
        <w:spacing w:after="120"/>
      </w:pPr>
      <w:r>
        <w:t xml:space="preserve">This directive was marked “DO NOT PRINT. DELETE AFTER MEMORISING” but was recovered intact, representing a significant operational security failure on the part of the network and a key piece of strategic evidence. Every operational element observed elsewhere in this investigation — the GH¢9,500 structuring cap, the three named front companies, the Dubai/Cyprus routing order, and the FIC bribery arrangement — traces directly back to this single document, which is therefore considered the central strategic exhibit of this case.</w:t>
      </w:r>
    </w:p>
    <w:p>
      <w:r>
        <w:br w:type="page"/>
      </w:r>
    </w:p>
    <w:p>
      <w:pPr>
        <w:pStyle w:val="Heading1"/>
      </w:pPr>
      <w:r>
        <w:t xml:space="preserve">Section D: Email &amp; Cloud Evidence</w:t>
      </w:r>
    </w:p>
    <w:p>
      <w:pPr>
        <w:pStyle w:val="Heading2"/>
      </w:pPr>
      <w:r>
        <w:t xml:space="preserve">Task 13: Wire Transfer Confirmation</w:t>
      </w:r>
    </w:p>
    <w:p>
      <w:pPr>
        <w:spacing w:after="120"/>
      </w:pPr>
      <w:r>
        <w:t xml:space="preserve">Two wire transfer confirmation emails were recovered, both sent from notifications@ecowasbank-alerts.net to paul.addo.accragh@gmail.com: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3600"/>
        <w:gridCol w:w="3600"/>
      </w:tblGrid>
      <w:tr>
        <w:trPr>
          <w:tblHeader/>
        </w:trPr>
        <w:tc>
          <w:tcPr>
            <w:tcW w:type="dxa" w:w="2160"/>
            <w:tcBorders>
              <w:top w:val="single" w:color="CCCCCC" w:sz="1"/>
              <w:left w:val="single" w:color="CCCCCC" w:sz="1"/>
              <w:bottom w:val="single" w:color="CCCCCC" w:sz="1"/>
              <w:right w:val="single" w:color="CCCCCC" w:sz="1"/>
            </w:tcBorders>
            <w:shd w:fill="2E5C8A" w:val="clear"/>
            <w:tcMar>
              <w:top w:type="dxa" w:w="80"/>
              <w:left w:type="dxa" w:w="120"/>
              <w:bottom w:type="dxa" w:w="80"/>
              <w:right w:type="dxa" w:w="120"/>
            </w:tcMar>
          </w:tcPr>
          <w:p>
            <w:r>
              <w:rPr>
                <w:b/>
                <w:bCs/>
                <w:color w:val="FFFFFF"/>
                <w:sz w:val="20"/>
                <w:szCs w:val="20"/>
              </w:rPr>
              <w:t xml:space="preserve">Field</w:t>
            </w:r>
          </w:p>
        </w:tc>
        <w:tc>
          <w:tcPr>
            <w:tcW w:type="dxa" w:w="3600"/>
            <w:tcBorders>
              <w:top w:val="single" w:color="CCCCCC" w:sz="1"/>
              <w:left w:val="single" w:color="CCCCCC" w:sz="1"/>
              <w:bottom w:val="single" w:color="CCCCCC" w:sz="1"/>
              <w:right w:val="single" w:color="CCCCCC" w:sz="1"/>
            </w:tcBorders>
            <w:shd w:fill="2E5C8A" w:val="clear"/>
            <w:tcMar>
              <w:top w:type="dxa" w:w="80"/>
              <w:left w:type="dxa" w:w="120"/>
              <w:bottom w:type="dxa" w:w="80"/>
              <w:right w:type="dxa" w:w="120"/>
            </w:tcMar>
          </w:tcPr>
          <w:p>
            <w:r>
              <w:rPr>
                <w:b/>
                <w:bCs/>
                <w:color w:val="FFFFFF"/>
                <w:sz w:val="20"/>
                <w:szCs w:val="20"/>
              </w:rPr>
              <w:t xml:space="preserve">Wire 1 (UAE)</w:t>
            </w:r>
          </w:p>
        </w:tc>
        <w:tc>
          <w:tcPr>
            <w:tcW w:type="dxa" w:w="3600"/>
            <w:tcBorders>
              <w:top w:val="single" w:color="CCCCCC" w:sz="1"/>
              <w:left w:val="single" w:color="CCCCCC" w:sz="1"/>
              <w:bottom w:val="single" w:color="CCCCCC" w:sz="1"/>
              <w:right w:val="single" w:color="CCCCCC" w:sz="1"/>
            </w:tcBorders>
            <w:shd w:fill="2E5C8A" w:val="clear"/>
            <w:tcMar>
              <w:top w:type="dxa" w:w="80"/>
              <w:left w:type="dxa" w:w="120"/>
              <w:bottom w:type="dxa" w:w="80"/>
              <w:right w:type="dxa" w:w="120"/>
            </w:tcMar>
          </w:tcPr>
          <w:p>
            <w:r>
              <w:rPr>
                <w:b/>
                <w:bCs/>
                <w:color w:val="FFFFFF"/>
                <w:sz w:val="20"/>
                <w:szCs w:val="20"/>
              </w:rPr>
              <w:t xml:space="preserve">Wire 2 (Cyprus)</w:t>
            </w:r>
          </w:p>
        </w:tc>
      </w:tr>
      <w:tr>
        <w:tc>
          <w:tcPr>
            <w:tcW w:type="dxa" w:w="2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Reference</w:t>
            </w:r>
          </w:p>
        </w:tc>
        <w:tc>
          <w:tcPr>
            <w:tcW w:type="dxa" w:w="3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TXN-INTL-2025-00882</w:t>
            </w:r>
          </w:p>
        </w:tc>
        <w:tc>
          <w:tcPr>
            <w:tcW w:type="dxa" w:w="3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TXN-INTL-2025-00943</w:t>
            </w:r>
          </w:p>
        </w:tc>
      </w:tr>
      <w:tr>
        <w:tc>
          <w:tcPr>
            <w:tcW w:type="dxa" w:w="2160"/>
            <w:tcBorders>
              <w:top w:val="single" w:color="CCCCCC" w:sz="1"/>
              <w:left w:val="single" w:color="CCCCCC" w:sz="1"/>
              <w:bottom w:val="single" w:color="CCCCCC" w:sz="1"/>
              <w:right w:val="single" w:color="CCCCCC" w:sz="1"/>
            </w:tcBorders>
            <w:shd w:fill="EEF3F8" w:val="clear"/>
            <w:tcMar>
              <w:top w:type="dxa" w:w="60"/>
              <w:left w:type="dxa" w:w="120"/>
              <w:bottom w:type="dxa" w:w="60"/>
              <w:right w:type="dxa" w:w="120"/>
            </w:tcMar>
          </w:tcPr>
          <w:p>
            <w:r>
              <w:rPr>
                <w:sz w:val="20"/>
                <w:szCs w:val="20"/>
              </w:rPr>
              <w:t xml:space="preserve">Amount</w:t>
            </w:r>
          </w:p>
        </w:tc>
        <w:tc>
          <w:tcPr>
            <w:tcW w:type="dxa" w:w="3600"/>
            <w:tcBorders>
              <w:top w:val="single" w:color="CCCCCC" w:sz="1"/>
              <w:left w:val="single" w:color="CCCCCC" w:sz="1"/>
              <w:bottom w:val="single" w:color="CCCCCC" w:sz="1"/>
              <w:right w:val="single" w:color="CCCCCC" w:sz="1"/>
            </w:tcBorders>
            <w:shd w:fill="EEF3F8" w:val="clear"/>
            <w:tcMar>
              <w:top w:type="dxa" w:w="60"/>
              <w:left w:type="dxa" w:w="120"/>
              <w:bottom w:type="dxa" w:w="60"/>
              <w:right w:type="dxa" w:w="120"/>
            </w:tcMar>
          </w:tcPr>
          <w:p>
            <w:r>
              <w:rPr>
                <w:sz w:val="20"/>
                <w:szCs w:val="20"/>
              </w:rPr>
              <w:t xml:space="preserve">USD 45,000.00</w:t>
            </w:r>
          </w:p>
        </w:tc>
        <w:tc>
          <w:tcPr>
            <w:tcW w:type="dxa" w:w="3600"/>
            <w:tcBorders>
              <w:top w:val="single" w:color="CCCCCC" w:sz="1"/>
              <w:left w:val="single" w:color="CCCCCC" w:sz="1"/>
              <w:bottom w:val="single" w:color="CCCCCC" w:sz="1"/>
              <w:right w:val="single" w:color="CCCCCC" w:sz="1"/>
            </w:tcBorders>
            <w:shd w:fill="EEF3F8" w:val="clear"/>
            <w:tcMar>
              <w:top w:type="dxa" w:w="60"/>
              <w:left w:type="dxa" w:w="120"/>
              <w:bottom w:type="dxa" w:w="60"/>
              <w:right w:type="dxa" w:w="120"/>
            </w:tcMar>
          </w:tcPr>
          <w:p>
            <w:r>
              <w:rPr>
                <w:sz w:val="20"/>
                <w:szCs w:val="20"/>
              </w:rPr>
              <w:t xml:space="preserve">USD 60,000.00</w:t>
            </w:r>
          </w:p>
        </w:tc>
      </w:tr>
      <w:tr>
        <w:tc>
          <w:tcPr>
            <w:tcW w:type="dxa" w:w="2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Beneficiary</w:t>
            </w:r>
          </w:p>
        </w:tc>
        <w:tc>
          <w:tcPr>
            <w:tcW w:type="dxa" w:w="3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Al Maktoum Investment Holdings LLC</w:t>
            </w:r>
          </w:p>
        </w:tc>
        <w:tc>
          <w:tcPr>
            <w:tcW w:type="dxa" w:w="3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Limassol Trade &amp; Advisory Ltd</w:t>
            </w:r>
          </w:p>
        </w:tc>
      </w:tr>
      <w:tr>
        <w:tc>
          <w:tcPr>
            <w:tcW w:type="dxa" w:w="2160"/>
            <w:tcBorders>
              <w:top w:val="single" w:color="CCCCCC" w:sz="1"/>
              <w:left w:val="single" w:color="CCCCCC" w:sz="1"/>
              <w:bottom w:val="single" w:color="CCCCCC" w:sz="1"/>
              <w:right w:val="single" w:color="CCCCCC" w:sz="1"/>
            </w:tcBorders>
            <w:shd w:fill="EEF3F8" w:val="clear"/>
            <w:tcMar>
              <w:top w:type="dxa" w:w="60"/>
              <w:left w:type="dxa" w:w="120"/>
              <w:bottom w:type="dxa" w:w="60"/>
              <w:right w:type="dxa" w:w="120"/>
            </w:tcMar>
          </w:tcPr>
          <w:p>
            <w:r>
              <w:rPr>
                <w:sz w:val="20"/>
                <w:szCs w:val="20"/>
              </w:rPr>
              <w:t xml:space="preserve">Destination</w:t>
            </w:r>
          </w:p>
        </w:tc>
        <w:tc>
          <w:tcPr>
            <w:tcW w:type="dxa" w:w="3600"/>
            <w:tcBorders>
              <w:top w:val="single" w:color="CCCCCC" w:sz="1"/>
              <w:left w:val="single" w:color="CCCCCC" w:sz="1"/>
              <w:bottom w:val="single" w:color="CCCCCC" w:sz="1"/>
              <w:right w:val="single" w:color="CCCCCC" w:sz="1"/>
            </w:tcBorders>
            <w:shd w:fill="EEF3F8" w:val="clear"/>
            <w:tcMar>
              <w:top w:type="dxa" w:w="60"/>
              <w:left w:type="dxa" w:w="120"/>
              <w:bottom w:type="dxa" w:w="60"/>
              <w:right w:type="dxa" w:w="120"/>
            </w:tcMar>
          </w:tcPr>
          <w:p>
            <w:r>
              <w:rPr>
                <w:sz w:val="20"/>
                <w:szCs w:val="20"/>
              </w:rPr>
              <w:t xml:space="preserve">Dubai, UAE — Account AE070331234567890123456</w:t>
            </w:r>
          </w:p>
        </w:tc>
        <w:tc>
          <w:tcPr>
            <w:tcW w:type="dxa" w:w="3600"/>
            <w:tcBorders>
              <w:top w:val="single" w:color="CCCCCC" w:sz="1"/>
              <w:left w:val="single" w:color="CCCCCC" w:sz="1"/>
              <w:bottom w:val="single" w:color="CCCCCC" w:sz="1"/>
              <w:right w:val="single" w:color="CCCCCC" w:sz="1"/>
            </w:tcBorders>
            <w:shd w:fill="EEF3F8" w:val="clear"/>
            <w:tcMar>
              <w:top w:type="dxa" w:w="60"/>
              <w:left w:type="dxa" w:w="120"/>
              <w:bottom w:type="dxa" w:w="60"/>
              <w:right w:type="dxa" w:w="120"/>
            </w:tcMar>
          </w:tcPr>
          <w:p>
            <w:r>
              <w:rPr>
                <w:sz w:val="20"/>
                <w:szCs w:val="20"/>
              </w:rPr>
              <w:t xml:space="preserve">Cyprus — IBAN CY17002001280000001200527600</w:t>
            </w:r>
          </w:p>
        </w:tc>
      </w:tr>
      <w:tr>
        <w:tc>
          <w:tcPr>
            <w:tcW w:type="dxa" w:w="2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Description</w:t>
            </w:r>
          </w:p>
        </w:tc>
        <w:tc>
          <w:tcPr>
            <w:tcW w:type="dxa" w:w="3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Consultancy Services Q4 2024</w:t>
            </w:r>
          </w:p>
        </w:tc>
        <w:tc>
          <w:tcPr>
            <w:tcW w:type="dxa" w:w="3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Software License Fees Q4 2024</w:t>
            </w:r>
          </w:p>
        </w:tc>
      </w:tr>
      <w:tr>
        <w:tc>
          <w:tcPr>
            <w:tcW w:type="dxa" w:w="2160"/>
            <w:tcBorders>
              <w:top w:val="single" w:color="CCCCCC" w:sz="1"/>
              <w:left w:val="single" w:color="CCCCCC" w:sz="1"/>
              <w:bottom w:val="single" w:color="CCCCCC" w:sz="1"/>
              <w:right w:val="single" w:color="CCCCCC" w:sz="1"/>
            </w:tcBorders>
            <w:shd w:fill="EEF3F8" w:val="clear"/>
            <w:tcMar>
              <w:top w:type="dxa" w:w="60"/>
              <w:left w:type="dxa" w:w="120"/>
              <w:bottom w:type="dxa" w:w="60"/>
              <w:right w:type="dxa" w:w="120"/>
            </w:tcMar>
          </w:tcPr>
          <w:p>
            <w:r>
              <w:rPr>
                <w:sz w:val="20"/>
                <w:szCs w:val="20"/>
              </w:rPr>
              <w:t xml:space="preserve">Status</w:t>
            </w:r>
          </w:p>
        </w:tc>
        <w:tc>
          <w:tcPr>
            <w:tcW w:type="dxa" w:w="3600"/>
            <w:tcBorders>
              <w:top w:val="single" w:color="CCCCCC" w:sz="1"/>
              <w:left w:val="single" w:color="CCCCCC" w:sz="1"/>
              <w:bottom w:val="single" w:color="CCCCCC" w:sz="1"/>
              <w:right w:val="single" w:color="CCCCCC" w:sz="1"/>
            </w:tcBorders>
            <w:shd w:fill="EEF3F8" w:val="clear"/>
            <w:tcMar>
              <w:top w:type="dxa" w:w="60"/>
              <w:left w:type="dxa" w:w="120"/>
              <w:bottom w:type="dxa" w:w="60"/>
              <w:right w:type="dxa" w:w="120"/>
            </w:tcMar>
          </w:tcPr>
          <w:p>
            <w:r>
              <w:rPr>
                <w:sz w:val="20"/>
                <w:szCs w:val="20"/>
              </w:rPr>
              <w:t xml:space="preserve">COMPLETED</w:t>
            </w:r>
          </w:p>
        </w:tc>
        <w:tc>
          <w:tcPr>
            <w:tcW w:type="dxa" w:w="3600"/>
            <w:tcBorders>
              <w:top w:val="single" w:color="CCCCCC" w:sz="1"/>
              <w:left w:val="single" w:color="CCCCCC" w:sz="1"/>
              <w:bottom w:val="single" w:color="CCCCCC" w:sz="1"/>
              <w:right w:val="single" w:color="CCCCCC" w:sz="1"/>
            </w:tcBorders>
            <w:shd w:fill="EEF3F8" w:val="clear"/>
            <w:tcMar>
              <w:top w:type="dxa" w:w="60"/>
              <w:left w:type="dxa" w:w="120"/>
              <w:bottom w:type="dxa" w:w="60"/>
              <w:right w:type="dxa" w:w="120"/>
            </w:tcMar>
          </w:tcPr>
          <w:p>
            <w:r>
              <w:rPr>
                <w:sz w:val="20"/>
                <w:szCs w:val="20"/>
              </w:rPr>
              <w:t xml:space="preserve">COMPLETED</w:t>
            </w:r>
          </w:p>
        </w:tc>
      </w:tr>
    </w:tbl>
    <w:p>
      <w:pPr>
        <w:spacing w:after="120"/>
      </w:pPr>
      <w:r>
        <w:t xml:space="preserve">The “Description” fields represent the falsified commercial pretexts used to disguise the true purpose of the funds, consistent with the use of “existing fronts only” directed in Boss_directives_Q1.txt. Both descriptions reference “Q4 2024” despite the transfers occurring in January 2025, a discrepancy that may indicate reuse of documentation templates from the prior year's iteration of the scheme (see Task 22, /OLD/ folder).</w:t>
      </w:r>
    </w:p>
    <w:p>
      <w:pPr>
        <w:spacing w:after="120"/>
      </w:pPr>
      <w:r>
        <w:t xml:space="preserve">The sender domain “ecowasbank-alerts.net” does not correspond to a recognised major Ghanaian or West African banking institution (cf. Ecobank, GCB Bank, Stanbic) and should be independently verified. If this domain is found to be unaffiliated with a regulated financial institution, it may indicate the use of an unregulated or shell payment intermediary, which would itself constitute additional evidence relevant to the investigation.</w:t>
      </w:r>
    </w:p>
    <w:p>
      <w:pPr>
        <w:spacing w:after="120"/>
      </w:pPr>
      <w:r>
        <w:t xml:space="preserve">The account/IBAN details identified above should be forwarded to the relevant national Financial Intelligence Units (UAE FIU and Cyprus MOKAS) to support asset tracing and potential freeze requests.</w:t>
      </w:r>
    </w:p>
    <w:p>
      <w:pPr>
        <w:pStyle w:val="Heading2"/>
      </w:pPr>
      <w:r>
        <w:t xml:space="preserve">Task 14: FIC Obstruction</w:t>
      </w:r>
    </w:p>
    <w:p>
      <w:pPr>
        <w:spacing w:after="120"/>
      </w:pPr>
      <w:r>
        <w:t xml:space="preserve">The file FIC_contact_details.txt, recovered from Dropbox/EXPORTS_2025/, provides direct documentary evidence of the corruption of a Financial Intelligence Centre official:</w:t>
      </w:r>
    </w:p>
    <w:p>
      <w:pPr>
        <w:pStyle w:val="ListParagraph"/>
        <w:numPr>
          <w:ilvl w:val="0"/>
          <w:numId w:val="2"/>
        </w:numPr>
        <w:spacing w:after="60"/>
      </w:pPr>
      <w:r>
        <w:t xml:space="preserve">Position: Senior Compliance Officer (name redacted in the recovered file; described as “known to Paul only”)</w:t>
      </w:r>
    </w:p>
    <w:p>
      <w:pPr>
        <w:pStyle w:val="ListParagraph"/>
        <w:numPr>
          <w:ilvl w:val="0"/>
          <w:numId w:val="2"/>
        </w:numPr>
        <w:spacing w:after="60"/>
      </w:pPr>
      <w:r>
        <w:t xml:space="preserve">Cost: GH¢5,000 per quarter, cash only</w:t>
      </w:r>
    </w:p>
    <w:p>
      <w:pPr>
        <w:pStyle w:val="ListParagraph"/>
        <w:numPr>
          <w:ilvl w:val="0"/>
          <w:numId w:val="2"/>
        </w:numPr>
        <w:spacing w:after="60"/>
      </w:pPr>
      <w:r>
        <w:t xml:space="preserve">Payment chain: Philip delivers cash to an intermediary identified only as “Kweku”, who passes the payment to the FIC contact</w:t>
      </w:r>
    </w:p>
    <w:p>
      <w:pPr>
        <w:pStyle w:val="ListParagraph"/>
        <w:numPr>
          <w:ilvl w:val="0"/>
          <w:numId w:val="2"/>
        </w:numPr>
        <w:spacing w:after="60"/>
      </w:pPr>
      <w:r>
        <w:t xml:space="preserve">Documented outcome: “Last payment 2025-01-19 (Q1 FIC query TRK-2025-0118 withdrawn)”</w:t>
      </w:r>
    </w:p>
    <w:p>
      <w:pPr>
        <w:spacing w:after="120"/>
      </w:pPr>
      <w:r>
        <w:t xml:space="preserve">This is independently corroborated by ProtonMail message PM-2025-0003 (19 January 2025, paddo.secure@proton.me to mary.offshore@proton.me): “FIC query TRK-2025-0118 will be withdrawn. Cost: GHS 5,000 this quarter. Arrange via Accra…”, and by Mary's reply (PM-2025-0004) confirming the arrangement and querying delivery method. This exchange also corresponds to WhatsApp messages MSG020–MSG021, in which Paul informs the group that “the FIC almost asked questions about the Takoradi transactions” and that “the report [has been] amended.”</w:t>
      </w:r>
    </w:p>
    <w:p>
      <w:pPr>
        <w:spacing w:after="120"/>
      </w:pPr>
      <w:r>
        <w:t xml:space="preserve">Reference TRK-2025-0118 is a specific, traceable internal FIC case/query identifier and should be cross-referenced against the FIC's own internal records as a priority action item. The individual identified only as “Kweku” represents an unidentified person of interest requiring further investigation.</w:t>
      </w:r>
    </w:p>
    <w:p>
      <w:pPr>
        <w:pStyle w:val="Heading2"/>
      </w:pPr>
      <w:r>
        <w:t xml:space="preserve">Task 15: Dropbox File Journal</w:t>
      </w:r>
    </w:p>
    <w:p>
      <w:pPr>
        <w:spacing w:after="120"/>
      </w:pPr>
      <w:r>
        <w:t xml:space="preserve">The Dropbox file_journal table (15 entries) was recovered, comprising 12 active files within /EXPORTS_2025/ and 3 deleted files (is_deleted = 1) within a folder named /OLD/. The active folder contents are summarised below: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CCCCC" w:sz="1"/>
              <w:left w:val="single" w:color="CCCCCC" w:sz="1"/>
              <w:bottom w:val="single" w:color="CCCCCC" w:sz="1"/>
              <w:right w:val="single" w:color="CCCCCC" w:sz="1"/>
            </w:tcBorders>
            <w:shd w:fill="2E5C8A" w:val="clear"/>
            <w:tcMar>
              <w:top w:type="dxa" w:w="80"/>
              <w:left w:type="dxa" w:w="120"/>
              <w:bottom w:type="dxa" w:w="80"/>
              <w:right w:type="dxa" w:w="120"/>
            </w:tcMar>
          </w:tcPr>
          <w:p>
            <w:r>
              <w:rPr>
                <w:b/>
                <w:bCs/>
                <w:color w:val="FFFFFF"/>
                <w:sz w:val="20"/>
                <w:szCs w:val="20"/>
              </w:rPr>
              <w:t xml:space="preserve">File</w:t>
            </w:r>
          </w:p>
        </w:tc>
        <w:tc>
          <w:tcPr>
            <w:tcW w:type="dxa" w:w="6360"/>
            <w:tcBorders>
              <w:top w:val="single" w:color="CCCCCC" w:sz="1"/>
              <w:left w:val="single" w:color="CCCCCC" w:sz="1"/>
              <w:bottom w:val="single" w:color="CCCCCC" w:sz="1"/>
              <w:right w:val="single" w:color="CCCCCC" w:sz="1"/>
            </w:tcBorders>
            <w:shd w:fill="2E5C8A" w:val="clear"/>
            <w:tcMar>
              <w:top w:type="dxa" w:w="80"/>
              <w:left w:type="dxa" w:w="120"/>
              <w:bottom w:type="dxa" w:w="80"/>
              <w:right w:type="dxa" w:w="120"/>
            </w:tcMar>
          </w:tcPr>
          <w:p>
            <w:r>
              <w:rPr>
                <w:b/>
                <w:bCs/>
                <w:color w:val="FFFFFF"/>
                <w:sz w:val="20"/>
                <w:szCs w:val="20"/>
              </w:rPr>
              <w:t xml:space="preserve">Significance</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falsified_invoices_Q1.zip</w:t>
            </w:r>
          </w:p>
        </w:tc>
        <w:tc>
          <w:tcPr>
            <w:tcW w:type="dxa" w:w="6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Falsified invoice archive (Task 11)</w:t>
            </w:r>
          </w:p>
        </w:tc>
      </w:tr>
      <w:tr>
        <w:tc>
          <w:tcPr>
            <w:tcW w:type="dxa" w:w="3000"/>
            <w:tcBorders>
              <w:top w:val="single" w:color="CCCCCC" w:sz="1"/>
              <w:left w:val="single" w:color="CCCCCC" w:sz="1"/>
              <w:bottom w:val="single" w:color="CCCCCC" w:sz="1"/>
              <w:right w:val="single" w:color="CCCCCC" w:sz="1"/>
            </w:tcBorders>
            <w:shd w:fill="EEF3F8" w:val="clear"/>
            <w:tcMar>
              <w:top w:type="dxa" w:w="60"/>
              <w:left w:type="dxa" w:w="120"/>
              <w:bottom w:type="dxa" w:w="60"/>
              <w:right w:type="dxa" w:w="120"/>
            </w:tcMar>
          </w:tcPr>
          <w:p>
            <w:r>
              <w:rPr>
                <w:sz w:val="20"/>
                <w:szCs w:val="20"/>
              </w:rPr>
              <w:t xml:space="preserve">ledger_offshore_Q1.xlsx</w:t>
            </w:r>
          </w:p>
        </w:tc>
        <w:tc>
          <w:tcPr>
            <w:tcW w:type="dxa" w:w="6360"/>
            <w:tcBorders>
              <w:top w:val="single" w:color="CCCCCC" w:sz="1"/>
              <w:left w:val="single" w:color="CCCCCC" w:sz="1"/>
              <w:bottom w:val="single" w:color="CCCCCC" w:sz="1"/>
              <w:right w:val="single" w:color="CCCCCC" w:sz="1"/>
            </w:tcBorders>
            <w:shd w:fill="EEF3F8" w:val="clear"/>
            <w:tcMar>
              <w:top w:type="dxa" w:w="60"/>
              <w:left w:type="dxa" w:w="120"/>
              <w:bottom w:type="dxa" w:w="60"/>
              <w:right w:type="dxa" w:w="120"/>
            </w:tcMar>
          </w:tcPr>
          <w:p>
            <w:r>
              <w:rPr>
                <w:sz w:val="20"/>
                <w:szCs w:val="20"/>
              </w:rPr>
              <w:t xml:space="preserve">Master offshore transaction ledger (Tasks 9–10)</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invoice_Jan2025.pdf / invoice_Feb2025.pdf</w:t>
            </w:r>
          </w:p>
        </w:tc>
        <w:tc>
          <w:tcPr>
            <w:tcW w:type="dxa" w:w="6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Individual falsified invoices (Task 11)</w:t>
            </w:r>
          </w:p>
        </w:tc>
      </w:tr>
      <w:tr>
        <w:tc>
          <w:tcPr>
            <w:tcW w:type="dxa" w:w="3000"/>
            <w:tcBorders>
              <w:top w:val="single" w:color="CCCCCC" w:sz="1"/>
              <w:left w:val="single" w:color="CCCCCC" w:sz="1"/>
              <w:bottom w:val="single" w:color="CCCCCC" w:sz="1"/>
              <w:right w:val="single" w:color="CCCCCC" w:sz="1"/>
            </w:tcBorders>
            <w:shd w:fill="EEF3F8" w:val="clear"/>
            <w:tcMar>
              <w:top w:type="dxa" w:w="60"/>
              <w:left w:type="dxa" w:w="120"/>
              <w:bottom w:type="dxa" w:w="60"/>
              <w:right w:type="dxa" w:w="120"/>
            </w:tcMar>
          </w:tcPr>
          <w:p>
            <w:r>
              <w:rPr>
                <w:sz w:val="20"/>
                <w:szCs w:val="20"/>
              </w:rPr>
              <w:t xml:space="preserve">Delta_Ventures_Registration.pdf</w:t>
            </w:r>
          </w:p>
        </w:tc>
        <w:tc>
          <w:tcPr>
            <w:tcW w:type="dxa" w:w="6360"/>
            <w:tcBorders>
              <w:top w:val="single" w:color="CCCCCC" w:sz="1"/>
              <w:left w:val="single" w:color="CCCCCC" w:sz="1"/>
              <w:bottom w:val="single" w:color="CCCCCC" w:sz="1"/>
              <w:right w:val="single" w:color="CCCCCC" w:sz="1"/>
            </w:tcBorders>
            <w:shd w:fill="EEF3F8" w:val="clear"/>
            <w:tcMar>
              <w:top w:type="dxa" w:w="60"/>
              <w:left w:type="dxa" w:w="120"/>
              <w:bottom w:type="dxa" w:w="60"/>
              <w:right w:type="dxa" w:w="120"/>
            </w:tcMar>
          </w:tcPr>
          <w:p>
            <w:r>
              <w:rPr>
                <w:sz w:val="20"/>
                <w:szCs w:val="20"/>
              </w:rPr>
              <w:t xml:space="preserve">Front company incorporation document — formal paper trail for Delta Ventures Ltd</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Accra_Micro_Batch_Jan.csv</w:t>
            </w:r>
          </w:p>
        </w:tc>
        <w:tc>
          <w:tcPr>
            <w:tcW w:type="dxa" w:w="6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Corresponds to microfinance split-deposit batch (MSG002/004)</w:t>
            </w:r>
          </w:p>
        </w:tc>
      </w:tr>
      <w:tr>
        <w:tc>
          <w:tcPr>
            <w:tcW w:type="dxa" w:w="3000"/>
            <w:tcBorders>
              <w:top w:val="single" w:color="CCCCCC" w:sz="1"/>
              <w:left w:val="single" w:color="CCCCCC" w:sz="1"/>
              <w:bottom w:val="single" w:color="CCCCCC" w:sz="1"/>
              <w:right w:val="single" w:color="CCCCCC" w:sz="1"/>
            </w:tcBorders>
            <w:shd w:fill="EEF3F8" w:val="clear"/>
            <w:tcMar>
              <w:top w:type="dxa" w:w="60"/>
              <w:left w:type="dxa" w:w="120"/>
              <w:bottom w:type="dxa" w:w="60"/>
              <w:right w:type="dxa" w:w="120"/>
            </w:tcMar>
          </w:tcPr>
          <w:p>
            <w:r>
              <w:rPr>
                <w:sz w:val="20"/>
                <w:szCs w:val="20"/>
              </w:rPr>
              <w:t xml:space="preserve">account_routing_offshore.txt</w:t>
            </w:r>
          </w:p>
        </w:tc>
        <w:tc>
          <w:tcPr>
            <w:tcW w:type="dxa" w:w="6360"/>
            <w:tcBorders>
              <w:top w:val="single" w:color="CCCCCC" w:sz="1"/>
              <w:left w:val="single" w:color="CCCCCC" w:sz="1"/>
              <w:bottom w:val="single" w:color="CCCCCC" w:sz="1"/>
              <w:right w:val="single" w:color="CCCCCC" w:sz="1"/>
            </w:tcBorders>
            <w:shd w:fill="EEF3F8" w:val="clear"/>
            <w:tcMar>
              <w:top w:type="dxa" w:w="60"/>
              <w:left w:type="dxa" w:w="120"/>
              <w:bottom w:type="dxa" w:w="60"/>
              <w:right w:type="dxa" w:w="120"/>
            </w:tcMar>
          </w:tcPr>
          <w:p>
            <w:r>
              <w:rPr>
                <w:sz w:val="20"/>
                <w:szCs w:val="20"/>
              </w:rPr>
              <w:t xml:space="preserve">Account/routing details for offshore transfers</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collection_schedule_Feb.xlsx</w:t>
            </w:r>
          </w:p>
        </w:tc>
        <w:tc>
          <w:tcPr>
            <w:tcW w:type="dxa" w:w="6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Cash collection schedule (Task 7)</w:t>
            </w:r>
          </w:p>
        </w:tc>
      </w:tr>
      <w:tr>
        <w:tc>
          <w:tcPr>
            <w:tcW w:type="dxa" w:w="3000"/>
            <w:tcBorders>
              <w:top w:val="single" w:color="CCCCCC" w:sz="1"/>
              <w:left w:val="single" w:color="CCCCCC" w:sz="1"/>
              <w:bottom w:val="single" w:color="CCCCCC" w:sz="1"/>
              <w:right w:val="single" w:color="CCCCCC" w:sz="1"/>
            </w:tcBorders>
            <w:shd w:fill="EEF3F8" w:val="clear"/>
            <w:tcMar>
              <w:top w:type="dxa" w:w="60"/>
              <w:left w:type="dxa" w:w="120"/>
              <w:bottom w:type="dxa" w:w="60"/>
              <w:right w:type="dxa" w:w="120"/>
            </w:tcMar>
          </w:tcPr>
          <w:p>
            <w:r>
              <w:rPr>
                <w:sz w:val="20"/>
                <w:szCs w:val="20"/>
              </w:rPr>
              <w:t xml:space="preserve">FIC_contact_details.txt</w:t>
            </w:r>
          </w:p>
        </w:tc>
        <w:tc>
          <w:tcPr>
            <w:tcW w:type="dxa" w:w="6360"/>
            <w:tcBorders>
              <w:top w:val="single" w:color="CCCCCC" w:sz="1"/>
              <w:left w:val="single" w:color="CCCCCC" w:sz="1"/>
              <w:bottom w:val="single" w:color="CCCCCC" w:sz="1"/>
              <w:right w:val="single" w:color="CCCCCC" w:sz="1"/>
            </w:tcBorders>
            <w:shd w:fill="EEF3F8" w:val="clear"/>
            <w:tcMar>
              <w:top w:type="dxa" w:w="60"/>
              <w:left w:type="dxa" w:w="120"/>
              <w:bottom w:type="dxa" w:w="60"/>
              <w:right w:type="dxa" w:w="120"/>
            </w:tcMar>
          </w:tcPr>
          <w:p>
            <w:r>
              <w:rPr>
                <w:sz w:val="20"/>
                <w:szCs w:val="20"/>
              </w:rPr>
              <w:t xml:space="preserve">FIC bribery arrangement (Task 14)</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Boss_directives_Q1.txt</w:t>
            </w:r>
          </w:p>
        </w:tc>
        <w:tc>
          <w:tcPr>
            <w:tcW w:type="dxa" w:w="6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Operational strategy document (Task 12)</w:t>
            </w:r>
          </w:p>
        </w:tc>
      </w:tr>
      <w:tr>
        <w:tc>
          <w:tcPr>
            <w:tcW w:type="dxa" w:w="3000"/>
            <w:tcBorders>
              <w:top w:val="single" w:color="CCCCCC" w:sz="1"/>
              <w:left w:val="single" w:color="CCCCCC" w:sz="1"/>
              <w:bottom w:val="single" w:color="CCCCCC" w:sz="1"/>
              <w:right w:val="single" w:color="CCCCCC" w:sz="1"/>
            </w:tcBorders>
            <w:shd w:fill="EEF3F8" w:val="clear"/>
            <w:tcMar>
              <w:top w:type="dxa" w:w="60"/>
              <w:left w:type="dxa" w:w="120"/>
              <w:bottom w:type="dxa" w:w="60"/>
              <w:right w:type="dxa" w:w="120"/>
            </w:tcMar>
          </w:tcPr>
          <w:p>
            <w:r>
              <w:rPr>
                <w:sz w:val="20"/>
                <w:szCs w:val="20"/>
              </w:rPr>
              <w:t xml:space="preserve">Q2_planning_draft.docx</w:t>
            </w:r>
          </w:p>
        </w:tc>
        <w:tc>
          <w:tcPr>
            <w:tcW w:type="dxa" w:w="6360"/>
            <w:tcBorders>
              <w:top w:val="single" w:color="CCCCCC" w:sz="1"/>
              <w:left w:val="single" w:color="CCCCCC" w:sz="1"/>
              <w:bottom w:val="single" w:color="CCCCCC" w:sz="1"/>
              <w:right w:val="single" w:color="CCCCCC" w:sz="1"/>
            </w:tcBorders>
            <w:shd w:fill="EEF3F8" w:val="clear"/>
            <w:tcMar>
              <w:top w:type="dxa" w:w="60"/>
              <w:left w:type="dxa" w:w="120"/>
              <w:bottom w:type="dxa" w:w="60"/>
              <w:right w:type="dxa" w:w="120"/>
            </w:tcMar>
          </w:tcPr>
          <w:p>
            <w:r>
              <w:rPr>
                <w:sz w:val="20"/>
                <w:szCs w:val="20"/>
              </w:rPr>
              <w:t xml:space="preserve">Forward-looking Q2 expansion plans (new Kumasi front, AMF channel expansion)</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invoice_template_blank.docx</w:t>
            </w:r>
          </w:p>
        </w:tc>
        <w:tc>
          <w:tcPr>
            <w:tcW w:type="dxa" w:w="6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Blank invoice template — demonstrates the invoices were internally fabricated rather than genuinely issued</w:t>
            </w:r>
          </w:p>
        </w:tc>
      </w:tr>
    </w:tbl>
    <w:p>
      <w:pPr>
        <w:spacing w:after="120"/>
      </w:pPr>
      <w:r>
        <w:t xml:space="preserve">The deleted /OLD/ folder contained ledger_2024_Q3.xlsx, contacts_dirty.txt, and offshore_routing_2024.txt — evidence of a prior-year iteration of the same scheme (see Task 22 and Task 21 supporting analysis).</w:t>
      </w:r>
    </w:p>
    <w:p>
      <w:pPr>
        <w:pStyle w:val="Heading2"/>
      </w:pPr>
      <w:r>
        <w:t xml:space="preserve">Task 16: ProtonMail Evidence</w:t>
      </w:r>
    </w:p>
    <w:p>
      <w:pPr>
        <w:spacing w:after="120"/>
      </w:pPr>
      <w:r>
        <w:t xml:space="preserve">Five encrypted ProtonMail messages (is_encrypted = 1) were recovered for the account paddo.secure@proton.me — a dedicated “clean” alias used exclusively for communication with the network's concealed superior and with Mary's offshore-dedicated alias.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1100"/>
        <w:gridCol w:w="2500"/>
        <w:gridCol w:w="4260"/>
      </w:tblGrid>
      <w:tr>
        <w:trPr>
          <w:tblHeader/>
        </w:trPr>
        <w:tc>
          <w:tcPr>
            <w:tcW w:type="dxa" w:w="1500"/>
            <w:tcBorders>
              <w:top w:val="single" w:color="CCCCCC" w:sz="1"/>
              <w:left w:val="single" w:color="CCCCCC" w:sz="1"/>
              <w:bottom w:val="single" w:color="CCCCCC" w:sz="1"/>
              <w:right w:val="single" w:color="CCCCCC" w:sz="1"/>
            </w:tcBorders>
            <w:shd w:fill="2E5C8A" w:val="clear"/>
            <w:tcMar>
              <w:top w:type="dxa" w:w="80"/>
              <w:left w:type="dxa" w:w="120"/>
              <w:bottom w:type="dxa" w:w="80"/>
              <w:right w:type="dxa" w:w="120"/>
            </w:tcMar>
          </w:tcPr>
          <w:p>
            <w:r>
              <w:rPr>
                <w:b/>
                <w:bCs/>
                <w:color w:val="FFFFFF"/>
                <w:sz w:val="20"/>
                <w:szCs w:val="20"/>
              </w:rPr>
              <w:t xml:space="preserve">ID</w:t>
            </w:r>
          </w:p>
        </w:tc>
        <w:tc>
          <w:tcPr>
            <w:tcW w:type="dxa" w:w="1100"/>
            <w:tcBorders>
              <w:top w:val="single" w:color="CCCCCC" w:sz="1"/>
              <w:left w:val="single" w:color="CCCCCC" w:sz="1"/>
              <w:bottom w:val="single" w:color="CCCCCC" w:sz="1"/>
              <w:right w:val="single" w:color="CCCCCC" w:sz="1"/>
            </w:tcBorders>
            <w:shd w:fill="2E5C8A" w:val="clear"/>
            <w:tcMar>
              <w:top w:type="dxa" w:w="80"/>
              <w:left w:type="dxa" w:w="120"/>
              <w:bottom w:type="dxa" w:w="80"/>
              <w:right w:type="dxa" w:w="120"/>
            </w:tcMar>
          </w:tcPr>
          <w:p>
            <w:r>
              <w:rPr>
                <w:b/>
                <w:bCs/>
                <w:color w:val="FFFFFF"/>
                <w:sz w:val="20"/>
                <w:szCs w:val="20"/>
              </w:rPr>
              <w:t xml:space="preserve">Date</w:t>
            </w:r>
          </w:p>
        </w:tc>
        <w:tc>
          <w:tcPr>
            <w:tcW w:type="dxa" w:w="2500"/>
            <w:tcBorders>
              <w:top w:val="single" w:color="CCCCCC" w:sz="1"/>
              <w:left w:val="single" w:color="CCCCCC" w:sz="1"/>
              <w:bottom w:val="single" w:color="CCCCCC" w:sz="1"/>
              <w:right w:val="single" w:color="CCCCCC" w:sz="1"/>
            </w:tcBorders>
            <w:shd w:fill="2E5C8A" w:val="clear"/>
            <w:tcMar>
              <w:top w:type="dxa" w:w="80"/>
              <w:left w:type="dxa" w:w="120"/>
              <w:bottom w:type="dxa" w:w="80"/>
              <w:right w:type="dxa" w:w="120"/>
            </w:tcMar>
          </w:tcPr>
          <w:p>
            <w:r>
              <w:rPr>
                <w:b/>
                <w:bCs/>
                <w:color w:val="FFFFFF"/>
                <w:sz w:val="20"/>
                <w:szCs w:val="20"/>
              </w:rPr>
              <w:t xml:space="preserve">From → To</w:t>
            </w:r>
          </w:p>
        </w:tc>
        <w:tc>
          <w:tcPr>
            <w:tcW w:type="dxa" w:w="4260"/>
            <w:tcBorders>
              <w:top w:val="single" w:color="CCCCCC" w:sz="1"/>
              <w:left w:val="single" w:color="CCCCCC" w:sz="1"/>
              <w:bottom w:val="single" w:color="CCCCCC" w:sz="1"/>
              <w:right w:val="single" w:color="CCCCCC" w:sz="1"/>
            </w:tcBorders>
            <w:shd w:fill="2E5C8A" w:val="clear"/>
            <w:tcMar>
              <w:top w:type="dxa" w:w="80"/>
              <w:left w:type="dxa" w:w="120"/>
              <w:bottom w:type="dxa" w:w="80"/>
              <w:right w:type="dxa" w:w="120"/>
            </w:tcMar>
          </w:tcPr>
          <w:p>
            <w:r>
              <w:rPr>
                <w:b/>
                <w:bCs/>
                <w:color w:val="FFFFFF"/>
                <w:sz w:val="20"/>
                <w:szCs w:val="20"/>
              </w:rPr>
              <w:t xml:space="preserve">Summary</w:t>
            </w:r>
          </w:p>
        </w:tc>
      </w:tr>
      <w:tr>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PM-2025-0005</w:t>
            </w:r>
          </w:p>
        </w:tc>
        <w:tc>
          <w:tcPr>
            <w:tcW w:type="dxa" w:w="11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03 Jan 2025</w:t>
            </w:r>
          </w:p>
        </w:tc>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bigdirector.anon → paddo.secure</w:t>
            </w:r>
          </w:p>
        </w:tc>
        <w:tc>
          <w:tcPr>
            <w:tcW w:type="dxa" w:w="42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Boss Directive — Q1 target GH¢500,000, GH¢9,500 cap, fronts, offshore routing, OPSEC rules (= Boss_directives_Q1.txt)</w:t>
            </w:r>
          </w:p>
        </w:tc>
      </w:tr>
      <w:tr>
        <w:tc>
          <w:tcPr>
            <w:tcW w:type="dxa" w:w="1500"/>
            <w:tcBorders>
              <w:top w:val="single" w:color="CCCCCC" w:sz="1"/>
              <w:left w:val="single" w:color="CCCCCC" w:sz="1"/>
              <w:bottom w:val="single" w:color="CCCCCC" w:sz="1"/>
              <w:right w:val="single" w:color="CCCCCC" w:sz="1"/>
            </w:tcBorders>
            <w:shd w:fill="EEF3F8" w:val="clear"/>
            <w:tcMar>
              <w:top w:type="dxa" w:w="60"/>
              <w:left w:type="dxa" w:w="120"/>
              <w:bottom w:type="dxa" w:w="60"/>
              <w:right w:type="dxa" w:w="120"/>
            </w:tcMar>
          </w:tcPr>
          <w:p>
            <w:r>
              <w:rPr>
                <w:sz w:val="20"/>
                <w:szCs w:val="20"/>
              </w:rPr>
              <w:t xml:space="preserve">PM-2025-0003</w:t>
            </w:r>
          </w:p>
        </w:tc>
        <w:tc>
          <w:tcPr>
            <w:tcW w:type="dxa" w:w="1100"/>
            <w:tcBorders>
              <w:top w:val="single" w:color="CCCCCC" w:sz="1"/>
              <w:left w:val="single" w:color="CCCCCC" w:sz="1"/>
              <w:bottom w:val="single" w:color="CCCCCC" w:sz="1"/>
              <w:right w:val="single" w:color="CCCCCC" w:sz="1"/>
            </w:tcBorders>
            <w:shd w:fill="EEF3F8" w:val="clear"/>
            <w:tcMar>
              <w:top w:type="dxa" w:w="60"/>
              <w:left w:type="dxa" w:w="120"/>
              <w:bottom w:type="dxa" w:w="60"/>
              <w:right w:type="dxa" w:w="120"/>
            </w:tcMar>
          </w:tcPr>
          <w:p>
            <w:r>
              <w:rPr>
                <w:sz w:val="20"/>
                <w:szCs w:val="20"/>
              </w:rPr>
              <w:t xml:space="preserve">19 Jan 2025</w:t>
            </w:r>
          </w:p>
        </w:tc>
        <w:tc>
          <w:tcPr>
            <w:tcW w:type="dxa" w:w="2500"/>
            <w:tcBorders>
              <w:top w:val="single" w:color="CCCCCC" w:sz="1"/>
              <w:left w:val="single" w:color="CCCCCC" w:sz="1"/>
              <w:bottom w:val="single" w:color="CCCCCC" w:sz="1"/>
              <w:right w:val="single" w:color="CCCCCC" w:sz="1"/>
            </w:tcBorders>
            <w:shd w:fill="EEF3F8" w:val="clear"/>
            <w:tcMar>
              <w:top w:type="dxa" w:w="60"/>
              <w:left w:type="dxa" w:w="120"/>
              <w:bottom w:type="dxa" w:w="60"/>
              <w:right w:type="dxa" w:w="120"/>
            </w:tcMar>
          </w:tcPr>
          <w:p>
            <w:r>
              <w:rPr>
                <w:sz w:val="20"/>
                <w:szCs w:val="20"/>
              </w:rPr>
              <w:t xml:space="preserve">paddo.secure → mary.offshore</w:t>
            </w:r>
          </w:p>
        </w:tc>
        <w:tc>
          <w:tcPr>
            <w:tcW w:type="dxa" w:w="4260"/>
            <w:tcBorders>
              <w:top w:val="single" w:color="CCCCCC" w:sz="1"/>
              <w:left w:val="single" w:color="CCCCCC" w:sz="1"/>
              <w:bottom w:val="single" w:color="CCCCCC" w:sz="1"/>
              <w:right w:val="single" w:color="CCCCCC" w:sz="1"/>
            </w:tcBorders>
            <w:shd w:fill="EEF3F8" w:val="clear"/>
            <w:tcMar>
              <w:top w:type="dxa" w:w="60"/>
              <w:left w:type="dxa" w:w="120"/>
              <w:bottom w:type="dxa" w:w="60"/>
              <w:right w:type="dxa" w:w="120"/>
            </w:tcMar>
          </w:tcPr>
          <w:p>
            <w:r>
              <w:rPr>
                <w:sz w:val="20"/>
                <w:szCs w:val="20"/>
              </w:rPr>
              <w:t xml:space="preserve">FIC query TRK-2025-0118 to be withdrawn for GH¢5,000 this quarter</w:t>
            </w:r>
          </w:p>
        </w:tc>
      </w:tr>
      <w:tr>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PM-2025-0004</w:t>
            </w:r>
          </w:p>
        </w:tc>
        <w:tc>
          <w:tcPr>
            <w:tcW w:type="dxa" w:w="11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20 Jan 2025</w:t>
            </w:r>
          </w:p>
        </w:tc>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mary.offshore → paddo.secure</w:t>
            </w:r>
          </w:p>
        </w:tc>
        <w:tc>
          <w:tcPr>
            <w:tcW w:type="dxa" w:w="42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Confirms FIC payment arrangement; asks delivery method (Philip cash vs. bank transfer)</w:t>
            </w:r>
          </w:p>
        </w:tc>
      </w:tr>
      <w:tr>
        <w:tc>
          <w:tcPr>
            <w:tcW w:type="dxa" w:w="1500"/>
            <w:tcBorders>
              <w:top w:val="single" w:color="CCCCCC" w:sz="1"/>
              <w:left w:val="single" w:color="CCCCCC" w:sz="1"/>
              <w:bottom w:val="single" w:color="CCCCCC" w:sz="1"/>
              <w:right w:val="single" w:color="CCCCCC" w:sz="1"/>
            </w:tcBorders>
            <w:shd w:fill="EEF3F8" w:val="clear"/>
            <w:tcMar>
              <w:top w:type="dxa" w:w="60"/>
              <w:left w:type="dxa" w:w="120"/>
              <w:bottom w:type="dxa" w:w="60"/>
              <w:right w:type="dxa" w:w="120"/>
            </w:tcMar>
          </w:tcPr>
          <w:p>
            <w:r>
              <w:rPr>
                <w:sz w:val="20"/>
                <w:szCs w:val="20"/>
              </w:rPr>
              <w:t xml:space="preserve">PM-2025-0001</w:t>
            </w:r>
          </w:p>
        </w:tc>
        <w:tc>
          <w:tcPr>
            <w:tcW w:type="dxa" w:w="1100"/>
            <w:tcBorders>
              <w:top w:val="single" w:color="CCCCCC" w:sz="1"/>
              <w:left w:val="single" w:color="CCCCCC" w:sz="1"/>
              <w:bottom w:val="single" w:color="CCCCCC" w:sz="1"/>
              <w:right w:val="single" w:color="CCCCCC" w:sz="1"/>
            </w:tcBorders>
            <w:shd w:fill="EEF3F8" w:val="clear"/>
            <w:tcMar>
              <w:top w:type="dxa" w:w="60"/>
              <w:left w:type="dxa" w:w="120"/>
              <w:bottom w:type="dxa" w:w="60"/>
              <w:right w:type="dxa" w:w="120"/>
            </w:tcMar>
          </w:tcPr>
          <w:p>
            <w:r>
              <w:rPr>
                <w:sz w:val="20"/>
                <w:szCs w:val="20"/>
              </w:rPr>
              <w:t xml:space="preserve">28 Feb 2025</w:t>
            </w:r>
          </w:p>
        </w:tc>
        <w:tc>
          <w:tcPr>
            <w:tcW w:type="dxa" w:w="2500"/>
            <w:tcBorders>
              <w:top w:val="single" w:color="CCCCCC" w:sz="1"/>
              <w:left w:val="single" w:color="CCCCCC" w:sz="1"/>
              <w:bottom w:val="single" w:color="CCCCCC" w:sz="1"/>
              <w:right w:val="single" w:color="CCCCCC" w:sz="1"/>
            </w:tcBorders>
            <w:shd w:fill="EEF3F8" w:val="clear"/>
            <w:tcMar>
              <w:top w:type="dxa" w:w="60"/>
              <w:left w:type="dxa" w:w="120"/>
              <w:bottom w:type="dxa" w:w="60"/>
              <w:right w:type="dxa" w:w="120"/>
            </w:tcMar>
          </w:tcPr>
          <w:p>
            <w:r>
              <w:rPr>
                <w:sz w:val="20"/>
                <w:szCs w:val="20"/>
              </w:rPr>
              <w:t xml:space="preserve">paddo.secure → bigdirector.anon</w:t>
            </w:r>
          </w:p>
        </w:tc>
        <w:tc>
          <w:tcPr>
            <w:tcW w:type="dxa" w:w="4260"/>
            <w:tcBorders>
              <w:top w:val="single" w:color="CCCCCC" w:sz="1"/>
              <w:left w:val="single" w:color="CCCCCC" w:sz="1"/>
              <w:bottom w:val="single" w:color="CCCCCC" w:sz="1"/>
              <w:right w:val="single" w:color="CCCCCC" w:sz="1"/>
            </w:tcBorders>
            <w:shd w:fill="EEF3F8" w:val="clear"/>
            <w:tcMar>
              <w:top w:type="dxa" w:w="60"/>
              <w:left w:type="dxa" w:w="120"/>
              <w:bottom w:type="dxa" w:w="60"/>
              <w:right w:type="dxa" w:w="120"/>
            </w:tcMar>
          </w:tcPr>
          <w:p>
            <w:r>
              <w:rPr>
                <w:sz w:val="20"/>
                <w:szCs w:val="20"/>
              </w:rPr>
              <w:t xml:space="preserve">Q1 Summary (Confidential): GH¢487k processed; offshore USD 105k (Dubai + Cyprus); no alerts</w:t>
            </w:r>
          </w:p>
        </w:tc>
      </w:tr>
      <w:tr>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PM-2025-0002</w:t>
            </w:r>
          </w:p>
        </w:tc>
        <w:tc>
          <w:tcPr>
            <w:tcW w:type="dxa" w:w="11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01 Mar 2025</w:t>
            </w:r>
          </w:p>
        </w:tc>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bigdirector.anon → paddo.secure</w:t>
            </w:r>
          </w:p>
        </w:tc>
        <w:tc>
          <w:tcPr>
            <w:tcW w:type="dxa" w:w="42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Q2 Expansion: register new front in Kumasi by April; expand AMF channel</w:t>
            </w:r>
          </w:p>
        </w:tc>
      </w:tr>
    </w:tbl>
    <w:p>
      <w:pPr>
        <w:spacing w:after="120"/>
      </w:pPr>
      <w:r>
        <w:t xml:space="preserve">Key findings from this artifact category:</w:t>
      </w:r>
    </w:p>
    <w:p>
      <w:pPr>
        <w:pStyle w:val="ListParagraph"/>
        <w:numPr>
          <w:ilvl w:val="0"/>
          <w:numId w:val="2"/>
        </w:numPr>
        <w:spacing w:after="60"/>
      </w:pPr>
      <w:r>
        <w:t xml:space="preserve">A previously unseen alias, mary.offshore@proton.me, is identified — corroborating Mary's expanded role in FIC bribery logistics, not solely offshore transfers.</w:t>
      </w:r>
    </w:p>
    <w:p>
      <w:pPr>
        <w:pStyle w:val="ListParagraph"/>
        <w:numPr>
          <w:ilvl w:val="0"/>
          <w:numId w:val="2"/>
        </w:numPr>
        <w:spacing w:after="60"/>
      </w:pPr>
      <w:r>
        <w:t xml:space="preserve">The Boss–Paul command channel (bigdirector.anon@proton.me ↔ paddo.secure@proton.me) is now corroborated across three independent artifact types: the WhatsApp group chat, Boss_directives_Q1.txt, and this ProtonMail export.</w:t>
      </w:r>
    </w:p>
    <w:p>
      <w:pPr>
        <w:pStyle w:val="ListParagraph"/>
        <w:numPr>
          <w:ilvl w:val="0"/>
          <w:numId w:val="2"/>
        </w:numPr>
        <w:spacing w:after="60"/>
      </w:pPr>
      <w:r>
        <w:t xml:space="preserve">The Q1 figures (GH¢487,000 / USD 105,000) appear consistently in WhatsApp (MSG043), the offshore ledger (Task 9), and this email — a strong evidentiary triangulation.</w:t>
      </w:r>
    </w:p>
    <w:p>
      <w:pPr>
        <w:pStyle w:val="ListParagraph"/>
        <w:numPr>
          <w:ilvl w:val="0"/>
          <w:numId w:val="2"/>
        </w:numPr>
        <w:spacing w:after="60"/>
      </w:pPr>
      <w:r>
        <w:t xml:space="preserve">TRK-2025-0118 is now documented in two independent artifact types (text file and email) with a matching date (19 January 2025), strengthening the FIC corruption finding.</w:t>
      </w:r>
    </w:p>
    <w:p>
      <w:r>
        <w:br w:type="page"/>
      </w:r>
    </w:p>
    <w:p>
      <w:pPr>
        <w:pStyle w:val="Heading1"/>
      </w:pPr>
      <w:r>
        <w:t xml:space="preserve">Section E: Browser &amp; Anti-Forensics</w:t>
      </w:r>
    </w:p>
    <w:p>
      <w:pPr>
        <w:pStyle w:val="Heading2"/>
      </w:pPr>
      <w:r>
        <w:t xml:space="preserve">Task 17: Incriminating Searches</w:t>
      </w:r>
    </w:p>
    <w:p>
      <w:pPr>
        <w:spacing w:after="120"/>
      </w:pPr>
      <w:r>
        <w:t xml:space="preserve">Eight entries were recovered from the Chrome keyword_search_terms table. Six relate to operational planning and evasion research: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CCCCC" w:sz="1"/>
              <w:left w:val="single" w:color="CCCCCC" w:sz="1"/>
              <w:bottom w:val="single" w:color="CCCCCC" w:sz="1"/>
              <w:right w:val="single" w:color="CCCCCC" w:sz="1"/>
            </w:tcBorders>
            <w:shd w:fill="2E5C8A" w:val="clear"/>
            <w:tcMar>
              <w:top w:type="dxa" w:w="80"/>
              <w:left w:type="dxa" w:w="120"/>
              <w:bottom w:type="dxa" w:w="80"/>
              <w:right w:type="dxa" w:w="120"/>
            </w:tcMar>
          </w:tcPr>
          <w:p>
            <w:r>
              <w:rPr>
                <w:b/>
                <w:bCs/>
                <w:color w:val="FFFFFF"/>
                <w:sz w:val="20"/>
                <w:szCs w:val="20"/>
              </w:rPr>
              <w:t xml:space="preserve">Search Term</w:t>
            </w:r>
          </w:p>
        </w:tc>
        <w:tc>
          <w:tcPr>
            <w:tcW w:type="dxa" w:w="4680"/>
            <w:tcBorders>
              <w:top w:val="single" w:color="CCCCCC" w:sz="1"/>
              <w:left w:val="single" w:color="CCCCCC" w:sz="1"/>
              <w:bottom w:val="single" w:color="CCCCCC" w:sz="1"/>
              <w:right w:val="single" w:color="CCCCCC" w:sz="1"/>
            </w:tcBorders>
            <w:shd w:fill="2E5C8A" w:val="clear"/>
            <w:tcMar>
              <w:top w:type="dxa" w:w="80"/>
              <w:left w:type="dxa" w:w="120"/>
              <w:bottom w:type="dxa" w:w="80"/>
              <w:right w:type="dxa" w:w="120"/>
            </w:tcMar>
          </w:tcPr>
          <w:p>
            <w:r>
              <w:rPr>
                <w:b/>
                <w:bCs/>
                <w:color w:val="FFFFFF"/>
                <w:sz w:val="20"/>
                <w:szCs w:val="20"/>
              </w:rPr>
              <w:t xml:space="preserve">Relevance</w:t>
            </w:r>
          </w:p>
        </w:tc>
      </w:tr>
      <w:tr>
        <w:tc>
          <w:tcPr>
            <w:tcW w:type="dxa" w:w="4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how to move money offshore ghana</w:t>
            </w:r>
          </w:p>
        </w:tc>
        <w:tc>
          <w:tcPr>
            <w:tcW w:type="dxa" w:w="4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Pre-planning for offshore routing (Task 10)</w:t>
            </w:r>
          </w:p>
        </w:tc>
      </w:tr>
      <w:tr>
        <w:tc>
          <w:tcPr>
            <w:tcW w:type="dxa" w:w="4680"/>
            <w:tcBorders>
              <w:top w:val="single" w:color="CCCCCC" w:sz="1"/>
              <w:left w:val="single" w:color="CCCCCC" w:sz="1"/>
              <w:bottom w:val="single" w:color="CCCCCC" w:sz="1"/>
              <w:right w:val="single" w:color="CCCCCC" w:sz="1"/>
            </w:tcBorders>
            <w:shd w:fill="EEF3F8" w:val="clear"/>
            <w:tcMar>
              <w:top w:type="dxa" w:w="60"/>
              <w:left w:type="dxa" w:w="120"/>
              <w:bottom w:type="dxa" w:w="60"/>
              <w:right w:type="dxa" w:w="120"/>
            </w:tcMar>
          </w:tcPr>
          <w:p>
            <w:r>
              <w:rPr>
                <w:sz w:val="20"/>
                <w:szCs w:val="20"/>
              </w:rPr>
              <w:t xml:space="preserve">anti money laundering detection ghana</w:t>
            </w:r>
          </w:p>
        </w:tc>
        <w:tc>
          <w:tcPr>
            <w:tcW w:type="dxa" w:w="4680"/>
            <w:tcBorders>
              <w:top w:val="single" w:color="CCCCCC" w:sz="1"/>
              <w:left w:val="single" w:color="CCCCCC" w:sz="1"/>
              <w:bottom w:val="single" w:color="CCCCCC" w:sz="1"/>
              <w:right w:val="single" w:color="CCCCCC" w:sz="1"/>
            </w:tcBorders>
            <w:shd w:fill="EEF3F8" w:val="clear"/>
            <w:tcMar>
              <w:top w:type="dxa" w:w="60"/>
              <w:left w:type="dxa" w:w="120"/>
              <w:bottom w:type="dxa" w:w="60"/>
              <w:right w:type="dxa" w:w="120"/>
            </w:tcMar>
          </w:tcPr>
          <w:p>
            <w:r>
              <w:rPr>
                <w:sz w:val="20"/>
                <w:szCs w:val="20"/>
              </w:rPr>
              <w:t xml:space="preserve">Research into AML detection mechanisms</w:t>
            </w:r>
          </w:p>
        </w:tc>
      </w:tr>
      <w:tr>
        <w:tc>
          <w:tcPr>
            <w:tcW w:type="dxa" w:w="4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FIC reporting threshold Ghana 2024</w:t>
            </w:r>
          </w:p>
        </w:tc>
        <w:tc>
          <w:tcPr>
            <w:tcW w:type="dxa" w:w="4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Directly explains the GH¢9,500 structuring cap in Boss_directives_Q1.txt</w:t>
            </w:r>
          </w:p>
        </w:tc>
      </w:tr>
      <w:tr>
        <w:tc>
          <w:tcPr>
            <w:tcW w:type="dxa" w:w="4680"/>
            <w:tcBorders>
              <w:top w:val="single" w:color="CCCCCC" w:sz="1"/>
              <w:left w:val="single" w:color="CCCCCC" w:sz="1"/>
              <w:bottom w:val="single" w:color="CCCCCC" w:sz="1"/>
              <w:right w:val="single" w:color="CCCCCC" w:sz="1"/>
            </w:tcBorders>
            <w:shd w:fill="EEF3F8" w:val="clear"/>
            <w:tcMar>
              <w:top w:type="dxa" w:w="60"/>
              <w:left w:type="dxa" w:w="120"/>
              <w:bottom w:type="dxa" w:w="60"/>
              <w:right w:type="dxa" w:w="120"/>
            </w:tcMar>
          </w:tcPr>
          <w:p>
            <w:r>
              <w:rPr>
                <w:sz w:val="20"/>
                <w:szCs w:val="20"/>
              </w:rPr>
              <w:t xml:space="preserve">falsify invoice Ghana company</w:t>
            </w:r>
          </w:p>
        </w:tc>
        <w:tc>
          <w:tcPr>
            <w:tcW w:type="dxa" w:w="4680"/>
            <w:tcBorders>
              <w:top w:val="single" w:color="CCCCCC" w:sz="1"/>
              <w:left w:val="single" w:color="CCCCCC" w:sz="1"/>
              <w:bottom w:val="single" w:color="CCCCCC" w:sz="1"/>
              <w:right w:val="single" w:color="CCCCCC" w:sz="1"/>
            </w:tcBorders>
            <w:shd w:fill="EEF3F8" w:val="clear"/>
            <w:tcMar>
              <w:top w:type="dxa" w:w="60"/>
              <w:left w:type="dxa" w:w="120"/>
              <w:bottom w:type="dxa" w:w="60"/>
              <w:right w:type="dxa" w:w="120"/>
            </w:tcMar>
          </w:tcPr>
          <w:p>
            <w:r>
              <w:rPr>
                <w:sz w:val="20"/>
                <w:szCs w:val="20"/>
              </w:rPr>
              <w:t xml:space="preserve">Pre-planning for the falsified invoice scheme (Task 11)</w:t>
            </w:r>
          </w:p>
        </w:tc>
      </w:tr>
      <w:tr>
        <w:tc>
          <w:tcPr>
            <w:tcW w:type="dxa" w:w="4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SWIFT wire transfer no trace ghana</w:t>
            </w:r>
          </w:p>
        </w:tc>
        <w:tc>
          <w:tcPr>
            <w:tcW w:type="dxa" w:w="4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Pre-planning for untraceable international wires</w:t>
            </w:r>
          </w:p>
        </w:tc>
      </w:tr>
      <w:tr>
        <w:tc>
          <w:tcPr>
            <w:tcW w:type="dxa" w:w="4680"/>
            <w:tcBorders>
              <w:top w:val="single" w:color="CCCCCC" w:sz="1"/>
              <w:left w:val="single" w:color="CCCCCC" w:sz="1"/>
              <w:bottom w:val="single" w:color="CCCCCC" w:sz="1"/>
              <w:right w:val="single" w:color="CCCCCC" w:sz="1"/>
            </w:tcBorders>
            <w:shd w:fill="EEF3F8" w:val="clear"/>
            <w:tcMar>
              <w:top w:type="dxa" w:w="60"/>
              <w:left w:type="dxa" w:w="120"/>
              <w:bottom w:type="dxa" w:w="60"/>
              <w:right w:type="dxa" w:w="120"/>
            </w:tcMar>
          </w:tcPr>
          <w:p>
            <w:r>
              <w:rPr>
                <w:sz w:val="20"/>
                <w:szCs w:val="20"/>
              </w:rPr>
              <w:t xml:space="preserve">police checkpoint Accra Kumasi highway</w:t>
            </w:r>
          </w:p>
        </w:tc>
        <w:tc>
          <w:tcPr>
            <w:tcW w:type="dxa" w:w="4680"/>
            <w:tcBorders>
              <w:top w:val="single" w:color="CCCCCC" w:sz="1"/>
              <w:left w:val="single" w:color="CCCCCC" w:sz="1"/>
              <w:bottom w:val="single" w:color="CCCCCC" w:sz="1"/>
              <w:right w:val="single" w:color="CCCCCC" w:sz="1"/>
            </w:tcBorders>
            <w:shd w:fill="EEF3F8" w:val="clear"/>
            <w:tcMar>
              <w:top w:type="dxa" w:w="60"/>
              <w:left w:type="dxa" w:w="120"/>
              <w:bottom w:type="dxa" w:w="60"/>
              <w:right w:type="dxa" w:w="120"/>
            </w:tcMar>
          </w:tcPr>
          <w:p>
            <w:r>
              <w:rPr>
                <w:sz w:val="20"/>
                <w:szCs w:val="20"/>
              </w:rPr>
              <w:t xml:space="preserve">Matches WhatsApp MSG032/033 — searched immediately before rerouting a Kumasi cash collection</w:t>
            </w:r>
          </w:p>
        </w:tc>
      </w:tr>
    </w:tbl>
    <w:p>
      <w:pPr>
        <w:pStyle w:val="Heading2"/>
      </w:pPr>
      <w:r>
        <w:t xml:space="preserve">Task 18: Anti-Forensic Evidence</w:t>
      </w:r>
    </w:p>
    <w:p>
      <w:pPr>
        <w:spacing w:after="120"/>
      </w:pPr>
      <w:r>
        <w:t xml:space="preserve">The remaining two search entries demonstrate direct anti-forensic intent: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CCCCC" w:sz="1"/>
              <w:left w:val="single" w:color="CCCCCC" w:sz="1"/>
              <w:bottom w:val="single" w:color="CCCCCC" w:sz="1"/>
              <w:right w:val="single" w:color="CCCCCC" w:sz="1"/>
            </w:tcBorders>
            <w:shd w:fill="2E5C8A" w:val="clear"/>
            <w:tcMar>
              <w:top w:type="dxa" w:w="80"/>
              <w:left w:type="dxa" w:w="120"/>
              <w:bottom w:type="dxa" w:w="80"/>
              <w:right w:type="dxa" w:w="120"/>
            </w:tcMar>
          </w:tcPr>
          <w:p>
            <w:r>
              <w:rPr>
                <w:b/>
                <w:bCs/>
                <w:color w:val="FFFFFF"/>
                <w:sz w:val="20"/>
                <w:szCs w:val="20"/>
              </w:rPr>
              <w:t xml:space="preserve">Search Term</w:t>
            </w:r>
          </w:p>
        </w:tc>
        <w:tc>
          <w:tcPr>
            <w:tcW w:type="dxa" w:w="4680"/>
            <w:tcBorders>
              <w:top w:val="single" w:color="CCCCCC" w:sz="1"/>
              <w:left w:val="single" w:color="CCCCCC" w:sz="1"/>
              <w:bottom w:val="single" w:color="CCCCCC" w:sz="1"/>
              <w:right w:val="single" w:color="CCCCCC" w:sz="1"/>
            </w:tcBorders>
            <w:shd w:fill="2E5C8A" w:val="clear"/>
            <w:tcMar>
              <w:top w:type="dxa" w:w="80"/>
              <w:left w:type="dxa" w:w="120"/>
              <w:bottom w:type="dxa" w:w="80"/>
              <w:right w:type="dxa" w:w="120"/>
            </w:tcMar>
          </w:tcPr>
          <w:p>
            <w:r>
              <w:rPr>
                <w:b/>
                <w:bCs/>
                <w:color w:val="FFFFFF"/>
                <w:sz w:val="20"/>
                <w:szCs w:val="20"/>
              </w:rPr>
              <w:t xml:space="preserve">Significance</w:t>
            </w:r>
          </w:p>
        </w:tc>
      </w:tr>
      <w:tr>
        <w:tc>
          <w:tcPr>
            <w:tcW w:type="dxa" w:w="4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how to delete whatsapp messages permanently</w:t>
            </w:r>
          </w:p>
        </w:tc>
        <w:tc>
          <w:tcPr>
            <w:tcW w:type="dxa" w:w="4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Corresponds to MSG005 (“Delete these messages after reading”)</w:t>
            </w:r>
          </w:p>
        </w:tc>
      </w:tr>
      <w:tr>
        <w:tc>
          <w:tcPr>
            <w:tcW w:type="dxa" w:w="4680"/>
            <w:tcBorders>
              <w:top w:val="single" w:color="CCCCCC" w:sz="1"/>
              <w:left w:val="single" w:color="CCCCCC" w:sz="1"/>
              <w:bottom w:val="single" w:color="CCCCCC" w:sz="1"/>
              <w:right w:val="single" w:color="CCCCCC" w:sz="1"/>
            </w:tcBorders>
            <w:shd w:fill="EEF3F8" w:val="clear"/>
            <w:tcMar>
              <w:top w:type="dxa" w:w="60"/>
              <w:left w:type="dxa" w:w="120"/>
              <w:bottom w:type="dxa" w:w="60"/>
              <w:right w:type="dxa" w:w="120"/>
            </w:tcMar>
          </w:tcPr>
          <w:p>
            <w:r>
              <w:rPr>
                <w:sz w:val="20"/>
                <w:szCs w:val="20"/>
              </w:rPr>
              <w:t xml:space="preserve">CCleaner delete browser history permanently</w:t>
            </w:r>
          </w:p>
        </w:tc>
        <w:tc>
          <w:tcPr>
            <w:tcW w:type="dxa" w:w="4680"/>
            <w:tcBorders>
              <w:top w:val="single" w:color="CCCCCC" w:sz="1"/>
              <w:left w:val="single" w:color="CCCCCC" w:sz="1"/>
              <w:bottom w:val="single" w:color="CCCCCC" w:sz="1"/>
              <w:right w:val="single" w:color="CCCCCC" w:sz="1"/>
            </w:tcBorders>
            <w:shd w:fill="EEF3F8" w:val="clear"/>
            <w:tcMar>
              <w:top w:type="dxa" w:w="60"/>
              <w:left w:type="dxa" w:w="120"/>
              <w:bottom w:type="dxa" w:w="60"/>
              <w:right w:type="dxa" w:w="120"/>
            </w:tcMar>
          </w:tcPr>
          <w:p>
            <w:r>
              <w:rPr>
                <w:sz w:val="20"/>
                <w:szCs w:val="20"/>
              </w:rPr>
              <w:t xml:space="preserve">Suspect attempted to wipe his own browser history using a third-party tool</w:t>
            </w:r>
          </w:p>
        </w:tc>
      </w:tr>
    </w:tbl>
    <w:p>
      <w:pPr>
        <w:spacing w:after="120"/>
      </w:pPr>
      <w:r>
        <w:t xml:space="preserve">These searches, combined with the instruction to “burn the receipt” (Task 8) and the GH¢5,000/quarter payment to suppress the FIC query (Task 14), establish a consistent pattern of consciousness of guilt and active obstruction across digital and physical evidence categories. Notably, the search query relating to CCleaner itself survived within the browser's keyword_search_terms table, despite being a tool intended to erase such records — the attempted anti-forensic action did not achieve its purpose.</w:t>
      </w:r>
    </w:p>
    <w:p>
      <w:pPr>
        <w:pStyle w:val="Heading2"/>
      </w:pPr>
      <w:r>
        <w:t xml:space="preserve">Task 19: Saved Credentials</w:t>
      </w:r>
    </w:p>
    <w:p>
      <w:pPr>
        <w:spacing w:after="120"/>
      </w:pPr>
      <w:r>
        <w:t xml:space="preserve">Seven credential records were recovered from Chrome's Login Data SQLite database (table: logins). Password values were stored as encrypted BLOBs and were not recoverable without the associated Windows DPAPI/OS keychain key; however, the associated metadata is highly significant.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960"/>
        <w:gridCol w:w="3600"/>
      </w:tblGrid>
      <w:tr>
        <w:trPr>
          <w:tblHeader/>
        </w:trPr>
        <w:tc>
          <w:tcPr>
            <w:tcW w:type="dxa" w:w="2800"/>
            <w:tcBorders>
              <w:top w:val="single" w:color="CCCCCC" w:sz="1"/>
              <w:left w:val="single" w:color="CCCCCC" w:sz="1"/>
              <w:bottom w:val="single" w:color="CCCCCC" w:sz="1"/>
              <w:right w:val="single" w:color="CCCCCC" w:sz="1"/>
            </w:tcBorders>
            <w:shd w:fill="2E5C8A" w:val="clear"/>
            <w:tcMar>
              <w:top w:type="dxa" w:w="80"/>
              <w:left w:type="dxa" w:w="120"/>
              <w:bottom w:type="dxa" w:w="80"/>
              <w:right w:type="dxa" w:w="120"/>
            </w:tcMar>
          </w:tcPr>
          <w:p>
            <w:r>
              <w:rPr>
                <w:b/>
                <w:bCs/>
                <w:color w:val="FFFFFF"/>
                <w:sz w:val="20"/>
                <w:szCs w:val="20"/>
              </w:rPr>
              <w:t xml:space="preserve">Site</w:t>
            </w:r>
          </w:p>
        </w:tc>
        <w:tc>
          <w:tcPr>
            <w:tcW w:type="dxa" w:w="2960"/>
            <w:tcBorders>
              <w:top w:val="single" w:color="CCCCCC" w:sz="1"/>
              <w:left w:val="single" w:color="CCCCCC" w:sz="1"/>
              <w:bottom w:val="single" w:color="CCCCCC" w:sz="1"/>
              <w:right w:val="single" w:color="CCCCCC" w:sz="1"/>
            </w:tcBorders>
            <w:shd w:fill="2E5C8A" w:val="clear"/>
            <w:tcMar>
              <w:top w:type="dxa" w:w="80"/>
              <w:left w:type="dxa" w:w="120"/>
              <w:bottom w:type="dxa" w:w="80"/>
              <w:right w:type="dxa" w:w="120"/>
            </w:tcMar>
          </w:tcPr>
          <w:p>
            <w:r>
              <w:rPr>
                <w:b/>
                <w:bCs/>
                <w:color w:val="FFFFFF"/>
                <w:sz w:val="20"/>
                <w:szCs w:val="20"/>
              </w:rPr>
              <w:t xml:space="preserve">Username</w:t>
            </w:r>
          </w:p>
        </w:tc>
        <w:tc>
          <w:tcPr>
            <w:tcW w:type="dxa" w:w="3600"/>
            <w:tcBorders>
              <w:top w:val="single" w:color="CCCCCC" w:sz="1"/>
              <w:left w:val="single" w:color="CCCCCC" w:sz="1"/>
              <w:bottom w:val="single" w:color="CCCCCC" w:sz="1"/>
              <w:right w:val="single" w:color="CCCCCC" w:sz="1"/>
            </w:tcBorders>
            <w:shd w:fill="2E5C8A" w:val="clear"/>
            <w:tcMar>
              <w:top w:type="dxa" w:w="80"/>
              <w:left w:type="dxa" w:w="120"/>
              <w:bottom w:type="dxa" w:w="80"/>
              <w:right w:type="dxa" w:w="120"/>
            </w:tcMar>
          </w:tcPr>
          <w:p>
            <w:r>
              <w:rPr>
                <w:b/>
                <w:bCs/>
                <w:color w:val="FFFFFF"/>
                <w:sz w:val="20"/>
                <w:szCs w:val="20"/>
              </w:rPr>
              <w:t xml:space="preserve">Notes</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mail.google.com</w:t>
            </w:r>
          </w:p>
        </w:tc>
        <w:tc>
          <w:tcPr>
            <w:tcW w:type="dxa" w:w="2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paul.addo.accragh@gmail.com</w:t>
            </w:r>
          </w:p>
        </w:tc>
        <w:tc>
          <w:tcPr>
            <w:tcW w:type="dxa" w:w="3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Primary day-to-day operational email</w:t>
            </w:r>
          </w:p>
        </w:tc>
      </w:tr>
      <w:tr>
        <w:tc>
          <w:tcPr>
            <w:tcW w:type="dxa" w:w="2800"/>
            <w:tcBorders>
              <w:top w:val="single" w:color="CCCCCC" w:sz="1"/>
              <w:left w:val="single" w:color="CCCCCC" w:sz="1"/>
              <w:bottom w:val="single" w:color="CCCCCC" w:sz="1"/>
              <w:right w:val="single" w:color="CCCCCC" w:sz="1"/>
            </w:tcBorders>
            <w:shd w:fill="EEF3F8" w:val="clear"/>
            <w:tcMar>
              <w:top w:type="dxa" w:w="60"/>
              <w:left w:type="dxa" w:w="120"/>
              <w:bottom w:type="dxa" w:w="60"/>
              <w:right w:type="dxa" w:w="120"/>
            </w:tcMar>
          </w:tcPr>
          <w:p>
            <w:r>
              <w:rPr>
                <w:sz w:val="20"/>
                <w:szCs w:val="20"/>
              </w:rPr>
              <w:t xml:space="preserve">dropbox.com/login</w:t>
            </w:r>
          </w:p>
        </w:tc>
        <w:tc>
          <w:tcPr>
            <w:tcW w:type="dxa" w:w="2960"/>
            <w:tcBorders>
              <w:top w:val="single" w:color="CCCCCC" w:sz="1"/>
              <w:left w:val="single" w:color="CCCCCC" w:sz="1"/>
              <w:bottom w:val="single" w:color="CCCCCC" w:sz="1"/>
              <w:right w:val="single" w:color="CCCCCC" w:sz="1"/>
            </w:tcBorders>
            <w:shd w:fill="EEF3F8" w:val="clear"/>
            <w:tcMar>
              <w:top w:type="dxa" w:w="60"/>
              <w:left w:type="dxa" w:w="120"/>
              <w:bottom w:type="dxa" w:w="60"/>
              <w:right w:type="dxa" w:w="120"/>
            </w:tcMar>
          </w:tcPr>
          <w:p>
            <w:r>
              <w:rPr>
                <w:sz w:val="20"/>
                <w:szCs w:val="20"/>
              </w:rPr>
              <w:t xml:space="preserve">paul.addo.ventures@gmail.com</w:t>
            </w:r>
          </w:p>
        </w:tc>
        <w:tc>
          <w:tcPr>
            <w:tcW w:type="dxa" w:w="3600"/>
            <w:tcBorders>
              <w:top w:val="single" w:color="CCCCCC" w:sz="1"/>
              <w:left w:val="single" w:color="CCCCCC" w:sz="1"/>
              <w:bottom w:val="single" w:color="CCCCCC" w:sz="1"/>
              <w:right w:val="single" w:color="CCCCCC" w:sz="1"/>
            </w:tcBorders>
            <w:shd w:fill="EEF3F8" w:val="clear"/>
            <w:tcMar>
              <w:top w:type="dxa" w:w="60"/>
              <w:left w:type="dxa" w:w="120"/>
              <w:bottom w:type="dxa" w:w="60"/>
              <w:right w:type="dxa" w:w="120"/>
            </w:tcMar>
          </w:tcPr>
          <w:p>
            <w:r>
              <w:rPr>
                <w:sz w:val="20"/>
                <w:szCs w:val="20"/>
              </w:rPr>
              <w:t xml:space="preserve">Distinct alias used specifically for Dropbox / EXPORTS_2025</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accramicrofinance.com</w:t>
            </w:r>
          </w:p>
        </w:tc>
        <w:tc>
          <w:tcPr>
            <w:tcW w:type="dxa" w:w="2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p.addo</w:t>
            </w:r>
          </w:p>
        </w:tc>
        <w:tc>
          <w:tcPr>
            <w:tcW w:type="dxa" w:w="3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Direct personal/admin login to the microfinance institution used for laundering deposits</w:t>
            </w:r>
          </w:p>
        </w:tc>
      </w:tr>
      <w:tr>
        <w:tc>
          <w:tcPr>
            <w:tcW w:type="dxa" w:w="2800"/>
            <w:tcBorders>
              <w:top w:val="single" w:color="CCCCCC" w:sz="1"/>
              <w:left w:val="single" w:color="CCCCCC" w:sz="1"/>
              <w:bottom w:val="single" w:color="CCCCCC" w:sz="1"/>
              <w:right w:val="single" w:color="CCCCCC" w:sz="1"/>
            </w:tcBorders>
            <w:shd w:fill="EEF3F8" w:val="clear"/>
            <w:tcMar>
              <w:top w:type="dxa" w:w="60"/>
              <w:left w:type="dxa" w:w="120"/>
              <w:bottom w:type="dxa" w:w="60"/>
              <w:right w:type="dxa" w:w="120"/>
            </w:tcMar>
          </w:tcPr>
          <w:p>
            <w:r>
              <w:rPr>
                <w:sz w:val="20"/>
                <w:szCs w:val="20"/>
              </w:rPr>
              <w:t xml:space="preserve">deltaventuresltd.business</w:t>
            </w:r>
          </w:p>
        </w:tc>
        <w:tc>
          <w:tcPr>
            <w:tcW w:type="dxa" w:w="2960"/>
            <w:tcBorders>
              <w:top w:val="single" w:color="CCCCCC" w:sz="1"/>
              <w:left w:val="single" w:color="CCCCCC" w:sz="1"/>
              <w:bottom w:val="single" w:color="CCCCCC" w:sz="1"/>
              <w:right w:val="single" w:color="CCCCCC" w:sz="1"/>
            </w:tcBorders>
            <w:shd w:fill="EEF3F8" w:val="clear"/>
            <w:tcMar>
              <w:top w:type="dxa" w:w="60"/>
              <w:left w:type="dxa" w:w="120"/>
              <w:bottom w:type="dxa" w:w="60"/>
              <w:right w:type="dxa" w:w="120"/>
            </w:tcMar>
          </w:tcPr>
          <w:p>
            <w:r>
              <w:rPr>
                <w:sz w:val="20"/>
                <w:szCs w:val="20"/>
              </w:rPr>
              <w:t xml:space="preserve">admin</w:t>
            </w:r>
          </w:p>
        </w:tc>
        <w:tc>
          <w:tcPr>
            <w:tcW w:type="dxa" w:w="3600"/>
            <w:tcBorders>
              <w:top w:val="single" w:color="CCCCCC" w:sz="1"/>
              <w:left w:val="single" w:color="CCCCCC" w:sz="1"/>
              <w:bottom w:val="single" w:color="CCCCCC" w:sz="1"/>
              <w:right w:val="single" w:color="CCCCCC" w:sz="1"/>
            </w:tcBorders>
            <w:shd w:fill="EEF3F8" w:val="clear"/>
            <w:tcMar>
              <w:top w:type="dxa" w:w="60"/>
              <w:left w:type="dxa" w:w="120"/>
              <w:bottom w:type="dxa" w:w="60"/>
              <w:right w:type="dxa" w:w="120"/>
            </w:tcMar>
          </w:tcPr>
          <w:p>
            <w:r>
              <w:rPr>
                <w:sz w:val="20"/>
                <w:szCs w:val="20"/>
              </w:rPr>
              <w:t xml:space="preserve">Front company website — general administrative access</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web.facebook.com</w:t>
            </w:r>
          </w:p>
        </w:tc>
        <w:tc>
          <w:tcPr>
            <w:tcW w:type="dxa" w:w="2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paul.addo.gh</w:t>
            </w:r>
          </w:p>
        </w:tc>
        <w:tc>
          <w:tcPr>
            <w:tcW w:type="dxa" w:w="3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Personal/business social media</w:t>
            </w:r>
          </w:p>
        </w:tc>
      </w:tr>
      <w:tr>
        <w:tc>
          <w:tcPr>
            <w:tcW w:type="dxa" w:w="2800"/>
            <w:tcBorders>
              <w:top w:val="single" w:color="CCCCCC" w:sz="1"/>
              <w:left w:val="single" w:color="CCCCCC" w:sz="1"/>
              <w:bottom w:val="single" w:color="CCCCCC" w:sz="1"/>
              <w:right w:val="single" w:color="CCCCCC" w:sz="1"/>
            </w:tcBorders>
            <w:shd w:fill="EEF3F8" w:val="clear"/>
            <w:tcMar>
              <w:top w:type="dxa" w:w="60"/>
              <w:left w:type="dxa" w:w="120"/>
              <w:bottom w:type="dxa" w:w="60"/>
              <w:right w:type="dxa" w:w="120"/>
            </w:tcMar>
          </w:tcPr>
          <w:p>
            <w:r>
              <w:rPr>
                <w:sz w:val="20"/>
                <w:szCs w:val="20"/>
              </w:rPr>
              <w:t xml:space="preserve">transferwise.com (Wise)</w:t>
            </w:r>
          </w:p>
        </w:tc>
        <w:tc>
          <w:tcPr>
            <w:tcW w:type="dxa" w:w="2960"/>
            <w:tcBorders>
              <w:top w:val="single" w:color="CCCCCC" w:sz="1"/>
              <w:left w:val="single" w:color="CCCCCC" w:sz="1"/>
              <w:bottom w:val="single" w:color="CCCCCC" w:sz="1"/>
              <w:right w:val="single" w:color="CCCCCC" w:sz="1"/>
            </w:tcBorders>
            <w:shd w:fill="EEF3F8" w:val="clear"/>
            <w:tcMar>
              <w:top w:type="dxa" w:w="60"/>
              <w:left w:type="dxa" w:w="120"/>
              <w:bottom w:type="dxa" w:w="60"/>
              <w:right w:type="dxa" w:w="120"/>
            </w:tcMar>
          </w:tcPr>
          <w:p>
            <w:r>
              <w:rPr>
                <w:sz w:val="20"/>
                <w:szCs w:val="20"/>
              </w:rPr>
              <w:t xml:space="preserve">paul.addo.ventures@gmail.com</w:t>
            </w:r>
          </w:p>
        </w:tc>
        <w:tc>
          <w:tcPr>
            <w:tcW w:type="dxa" w:w="3600"/>
            <w:tcBorders>
              <w:top w:val="single" w:color="CCCCCC" w:sz="1"/>
              <w:left w:val="single" w:color="CCCCCC" w:sz="1"/>
              <w:bottom w:val="single" w:color="CCCCCC" w:sz="1"/>
              <w:right w:val="single" w:color="CCCCCC" w:sz="1"/>
            </w:tcBorders>
            <w:shd w:fill="EEF3F8" w:val="clear"/>
            <w:tcMar>
              <w:top w:type="dxa" w:w="60"/>
              <w:left w:type="dxa" w:w="120"/>
              <w:bottom w:type="dxa" w:w="60"/>
              <w:right w:type="dxa" w:w="120"/>
            </w:tcMar>
          </w:tcPr>
          <w:p>
            <w:r>
              <w:rPr>
                <w:sz w:val="20"/>
                <w:szCs w:val="20"/>
              </w:rPr>
              <w:t xml:space="preserve">Previously undocumented money transfer channel — new lead</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proton.me</w:t>
            </w:r>
          </w:p>
        </w:tc>
        <w:tc>
          <w:tcPr>
            <w:tcW w:type="dxa" w:w="2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paddo.secure@proton.me</w:t>
            </w:r>
          </w:p>
        </w:tc>
        <w:tc>
          <w:tcPr>
            <w:tcW w:type="dxa" w:w="3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Confirms the Boss-facing ProtonMail alias (Task 16)</w:t>
            </w:r>
          </w:p>
        </w:tc>
      </w:tr>
      <w:tr>
        <w:tc>
          <w:tcPr>
            <w:tcW w:type="dxa" w:w="2800"/>
            <w:tcBorders>
              <w:top w:val="single" w:color="CCCCCC" w:sz="1"/>
              <w:left w:val="single" w:color="CCCCCC" w:sz="1"/>
              <w:bottom w:val="single" w:color="CCCCCC" w:sz="1"/>
              <w:right w:val="single" w:color="CCCCCC" w:sz="1"/>
            </w:tcBorders>
            <w:shd w:fill="EEF3F8" w:val="clear"/>
            <w:tcMar>
              <w:top w:type="dxa" w:w="60"/>
              <w:left w:type="dxa" w:w="120"/>
              <w:bottom w:type="dxa" w:w="60"/>
              <w:right w:type="dxa" w:w="120"/>
            </w:tcMar>
          </w:tcPr>
          <w:p>
            <w:r>
              <w:rPr>
                <w:sz w:val="20"/>
                <w:szCs w:val="20"/>
              </w:rPr>
              <w:t xml:space="preserve">deltaventuresltd.business/admin</w:t>
            </w:r>
          </w:p>
        </w:tc>
        <w:tc>
          <w:tcPr>
            <w:tcW w:type="dxa" w:w="2960"/>
            <w:tcBorders>
              <w:top w:val="single" w:color="CCCCCC" w:sz="1"/>
              <w:left w:val="single" w:color="CCCCCC" w:sz="1"/>
              <w:bottom w:val="single" w:color="CCCCCC" w:sz="1"/>
              <w:right w:val="single" w:color="CCCCCC" w:sz="1"/>
            </w:tcBorders>
            <w:shd w:fill="EEF3F8" w:val="clear"/>
            <w:tcMar>
              <w:top w:type="dxa" w:w="60"/>
              <w:left w:type="dxa" w:w="120"/>
              <w:bottom w:type="dxa" w:w="60"/>
              <w:right w:type="dxa" w:w="120"/>
            </w:tcMar>
          </w:tcPr>
          <w:p>
            <w:r>
              <w:rPr>
                <w:sz w:val="20"/>
                <w:szCs w:val="20"/>
              </w:rPr>
              <w:t xml:space="preserve">paddo_admin</w:t>
            </w:r>
          </w:p>
        </w:tc>
        <w:tc>
          <w:tcPr>
            <w:tcW w:type="dxa" w:w="3600"/>
            <w:tcBorders>
              <w:top w:val="single" w:color="CCCCCC" w:sz="1"/>
              <w:left w:val="single" w:color="CCCCCC" w:sz="1"/>
              <w:bottom w:val="single" w:color="CCCCCC" w:sz="1"/>
              <w:right w:val="single" w:color="CCCCCC" w:sz="1"/>
            </w:tcBorders>
            <w:shd w:fill="EEF3F8" w:val="clear"/>
            <w:tcMar>
              <w:top w:type="dxa" w:w="60"/>
              <w:left w:type="dxa" w:w="120"/>
              <w:bottom w:type="dxa" w:w="60"/>
              <w:right w:type="dxa" w:w="120"/>
            </w:tcMar>
          </w:tcPr>
          <w:p>
            <w:r>
              <w:rPr>
                <w:sz w:val="20"/>
                <w:szCs w:val="20"/>
              </w:rPr>
              <w:t xml:space="preserve">Separate, personal admin-level credential for the front company backend</w:t>
            </w:r>
          </w:p>
        </w:tc>
      </w:tr>
    </w:tbl>
    <w:p>
      <w:pPr>
        <w:spacing w:after="120"/>
      </w:pPr>
      <w:r>
        <w:t xml:space="preserve">This artifact reveals at least three distinct identity tiers used by the suspect: a public/day-to-day Gmail account (paul.addo.accragh@gmail.com), a laundering-operations-specific Gmail account (paul.addo.ventures@gmail.com, used for Dropbox and Wise), and a Boss-facing ProtonMail alias (paddo.secure@proton.me).</w:t>
      </w:r>
    </w:p>
    <w:p>
      <w:pPr>
        <w:spacing w:after="120"/>
      </w:pPr>
      <w:r>
        <w:t xml:space="preserve">Two findings are of particular investigative significance:</w:t>
      </w:r>
    </w:p>
    <w:p>
      <w:pPr>
        <w:pStyle w:val="ListParagraph"/>
        <w:numPr>
          <w:ilvl w:val="0"/>
          <w:numId w:val="2"/>
        </w:numPr>
        <w:spacing w:after="60"/>
      </w:pPr>
      <w:r>
        <w:t xml:space="preserve">Direct personal credentialed access to accramicrofinance.com indicates either an insider relationship with, or a controlled account at, that institution — beyond simply being a deposit beneficiary.</w:t>
      </w:r>
    </w:p>
    <w:p>
      <w:pPr>
        <w:pStyle w:val="ListParagraph"/>
        <w:numPr>
          <w:ilvl w:val="0"/>
          <w:numId w:val="2"/>
        </w:numPr>
        <w:spacing w:after="60"/>
      </w:pPr>
      <w:r>
        <w:t xml:space="preserve">A previously undocumented Wise (TransferWise) account registered to paul.addo.ventures@gmail.com represents an additional money transfer channel not referenced in any other recovered artifact, and should be prioritised for a data request/subpoena to Wise.</w:t>
      </w:r>
    </w:p>
    <w:p>
      <w:r>
        <w:br w:type="page"/>
      </w:r>
    </w:p>
    <w:p>
      <w:pPr>
        <w:pStyle w:val="Heading1"/>
      </w:pPr>
      <w:r>
        <w:t xml:space="preserve">Section F: Timeline &amp; Analysis</w:t>
      </w:r>
    </w:p>
    <w:p>
      <w:pPr>
        <w:pStyle w:val="Heading2"/>
      </w:pPr>
      <w:r>
        <w:t xml:space="preserve">Task 20: Event Timeline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5800"/>
        <w:gridCol w:w="2260"/>
      </w:tblGrid>
      <w:tr>
        <w:trPr>
          <w:tblHeader/>
        </w:trPr>
        <w:tc>
          <w:tcPr>
            <w:tcW w:type="dxa" w:w="1300"/>
            <w:tcBorders>
              <w:top w:val="single" w:color="CCCCCC" w:sz="1"/>
              <w:left w:val="single" w:color="CCCCCC" w:sz="1"/>
              <w:bottom w:val="single" w:color="CCCCCC" w:sz="1"/>
              <w:right w:val="single" w:color="CCCCCC" w:sz="1"/>
            </w:tcBorders>
            <w:shd w:fill="2E5C8A" w:val="clear"/>
            <w:tcMar>
              <w:top w:type="dxa" w:w="80"/>
              <w:left w:type="dxa" w:w="120"/>
              <w:bottom w:type="dxa" w:w="80"/>
              <w:right w:type="dxa" w:w="120"/>
            </w:tcMar>
          </w:tcPr>
          <w:p>
            <w:r>
              <w:rPr>
                <w:b/>
                <w:bCs/>
                <w:color w:val="FFFFFF"/>
                <w:sz w:val="20"/>
                <w:szCs w:val="20"/>
              </w:rPr>
              <w:t xml:space="preserve">Date</w:t>
            </w:r>
          </w:p>
        </w:tc>
        <w:tc>
          <w:tcPr>
            <w:tcW w:type="dxa" w:w="5800"/>
            <w:tcBorders>
              <w:top w:val="single" w:color="CCCCCC" w:sz="1"/>
              <w:left w:val="single" w:color="CCCCCC" w:sz="1"/>
              <w:bottom w:val="single" w:color="CCCCCC" w:sz="1"/>
              <w:right w:val="single" w:color="CCCCCC" w:sz="1"/>
            </w:tcBorders>
            <w:shd w:fill="2E5C8A" w:val="clear"/>
            <w:tcMar>
              <w:top w:type="dxa" w:w="80"/>
              <w:left w:type="dxa" w:w="120"/>
              <w:bottom w:type="dxa" w:w="80"/>
              <w:right w:type="dxa" w:w="120"/>
            </w:tcMar>
          </w:tcPr>
          <w:p>
            <w:r>
              <w:rPr>
                <w:b/>
                <w:bCs/>
                <w:color w:val="FFFFFF"/>
                <w:sz w:val="20"/>
                <w:szCs w:val="20"/>
              </w:rPr>
              <w:t xml:space="preserve">Event</w:t>
            </w:r>
          </w:p>
        </w:tc>
        <w:tc>
          <w:tcPr>
            <w:tcW w:type="dxa" w:w="2260"/>
            <w:tcBorders>
              <w:top w:val="single" w:color="CCCCCC" w:sz="1"/>
              <w:left w:val="single" w:color="CCCCCC" w:sz="1"/>
              <w:bottom w:val="single" w:color="CCCCCC" w:sz="1"/>
              <w:right w:val="single" w:color="CCCCCC" w:sz="1"/>
            </w:tcBorders>
            <w:shd w:fill="2E5C8A" w:val="clear"/>
            <w:tcMar>
              <w:top w:type="dxa" w:w="80"/>
              <w:left w:type="dxa" w:w="120"/>
              <w:bottom w:type="dxa" w:w="80"/>
              <w:right w:type="dxa" w:w="120"/>
            </w:tcMar>
          </w:tcPr>
          <w:p>
            <w:r>
              <w:rPr>
                <w:b/>
                <w:bCs/>
                <w:color w:val="FFFFFF"/>
                <w:sz w:val="20"/>
                <w:szCs w:val="20"/>
              </w:rPr>
              <w:t xml:space="preserve">Source</w:t>
            </w:r>
          </w:p>
        </w:tc>
      </w:tr>
      <w:tr>
        <w:tc>
          <w:tcPr>
            <w:tcW w:type="dxa" w:w="13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24 Sep 2024</w:t>
            </w:r>
          </w:p>
        </w:tc>
        <w:tc>
          <w:tcPr>
            <w:tcW w:type="dxa" w:w="5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offshore_routing_2024.txt last modified (prior-year operation)</w:t>
            </w:r>
          </w:p>
        </w:tc>
        <w:tc>
          <w:tcPr>
            <w:tcW w:type="dxa" w:w="22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Dropbox journal (/OLD/)</w:t>
            </w:r>
          </w:p>
        </w:tc>
      </w:tr>
      <w:tr>
        <w:tc>
          <w:tcPr>
            <w:tcW w:type="dxa" w:w="1300"/>
            <w:tcBorders>
              <w:top w:val="single" w:color="CCCCCC" w:sz="1"/>
              <w:left w:val="single" w:color="CCCCCC" w:sz="1"/>
              <w:bottom w:val="single" w:color="CCCCCC" w:sz="1"/>
              <w:right w:val="single" w:color="CCCCCC" w:sz="1"/>
            </w:tcBorders>
            <w:shd w:fill="EEF3F8" w:val="clear"/>
            <w:tcMar>
              <w:top w:type="dxa" w:w="60"/>
              <w:left w:type="dxa" w:w="120"/>
              <w:bottom w:type="dxa" w:w="60"/>
              <w:right w:type="dxa" w:w="120"/>
            </w:tcMar>
          </w:tcPr>
          <w:p>
            <w:r>
              <w:rPr>
                <w:sz w:val="20"/>
                <w:szCs w:val="20"/>
              </w:rPr>
              <w:t xml:space="preserve">24 Dec 2024</w:t>
            </w:r>
          </w:p>
        </w:tc>
        <w:tc>
          <w:tcPr>
            <w:tcW w:type="dxa" w:w="5800"/>
            <w:tcBorders>
              <w:top w:val="single" w:color="CCCCCC" w:sz="1"/>
              <w:left w:val="single" w:color="CCCCCC" w:sz="1"/>
              <w:bottom w:val="single" w:color="CCCCCC" w:sz="1"/>
              <w:right w:val="single" w:color="CCCCCC" w:sz="1"/>
            </w:tcBorders>
            <w:shd w:fill="EEF3F8" w:val="clear"/>
            <w:tcMar>
              <w:top w:type="dxa" w:w="60"/>
              <w:left w:type="dxa" w:w="120"/>
              <w:bottom w:type="dxa" w:w="60"/>
              <w:right w:type="dxa" w:w="120"/>
            </w:tcMar>
          </w:tcPr>
          <w:p>
            <w:r>
              <w:rPr>
                <w:sz w:val="20"/>
                <w:szCs w:val="20"/>
              </w:rPr>
              <w:t xml:space="preserve">Nancy: GH¢85,000 invoice ready, to be sent to Koforidua account</w:t>
            </w:r>
          </w:p>
        </w:tc>
        <w:tc>
          <w:tcPr>
            <w:tcW w:type="dxa" w:w="2260"/>
            <w:tcBorders>
              <w:top w:val="single" w:color="CCCCCC" w:sz="1"/>
              <w:left w:val="single" w:color="CCCCCC" w:sz="1"/>
              <w:bottom w:val="single" w:color="CCCCCC" w:sz="1"/>
              <w:right w:val="single" w:color="CCCCCC" w:sz="1"/>
            </w:tcBorders>
            <w:shd w:fill="EEF3F8" w:val="clear"/>
            <w:tcMar>
              <w:top w:type="dxa" w:w="60"/>
              <w:left w:type="dxa" w:w="120"/>
              <w:bottom w:type="dxa" w:w="60"/>
              <w:right w:type="dxa" w:w="120"/>
            </w:tcMar>
          </w:tcPr>
          <w:p>
            <w:r>
              <w:rPr>
                <w:sz w:val="20"/>
                <w:szCs w:val="20"/>
              </w:rPr>
              <w:t xml:space="preserve">WhatsApp MSG001</w:t>
            </w:r>
          </w:p>
        </w:tc>
      </w:tr>
      <w:tr>
        <w:tc>
          <w:tcPr>
            <w:tcW w:type="dxa" w:w="13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24 Dec 2024</w:t>
            </w:r>
          </w:p>
        </w:tc>
        <w:tc>
          <w:tcPr>
            <w:tcW w:type="dxa" w:w="5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Paul: split deposit GH¢50k + GH¢35k under REF-AML-2025-0041</w:t>
            </w:r>
          </w:p>
        </w:tc>
        <w:tc>
          <w:tcPr>
            <w:tcW w:type="dxa" w:w="22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WhatsApp MSG003–004</w:t>
            </w:r>
          </w:p>
        </w:tc>
      </w:tr>
      <w:tr>
        <w:tc>
          <w:tcPr>
            <w:tcW w:type="dxa" w:w="1300"/>
            <w:tcBorders>
              <w:top w:val="single" w:color="CCCCCC" w:sz="1"/>
              <w:left w:val="single" w:color="CCCCCC" w:sz="1"/>
              <w:bottom w:val="single" w:color="CCCCCC" w:sz="1"/>
              <w:right w:val="single" w:color="CCCCCC" w:sz="1"/>
            </w:tcBorders>
            <w:shd w:fill="EEF3F8" w:val="clear"/>
            <w:tcMar>
              <w:top w:type="dxa" w:w="60"/>
              <w:left w:type="dxa" w:w="120"/>
              <w:bottom w:type="dxa" w:w="60"/>
              <w:right w:type="dxa" w:w="120"/>
            </w:tcMar>
          </w:tcPr>
          <w:p>
            <w:r>
              <w:rPr>
                <w:sz w:val="20"/>
                <w:szCs w:val="20"/>
              </w:rPr>
              <w:t xml:space="preserve">24 Dec 2024</w:t>
            </w:r>
          </w:p>
        </w:tc>
        <w:tc>
          <w:tcPr>
            <w:tcW w:type="dxa" w:w="5800"/>
            <w:tcBorders>
              <w:top w:val="single" w:color="CCCCCC" w:sz="1"/>
              <w:left w:val="single" w:color="CCCCCC" w:sz="1"/>
              <w:bottom w:val="single" w:color="CCCCCC" w:sz="1"/>
              <w:right w:val="single" w:color="CCCCCC" w:sz="1"/>
            </w:tcBorders>
            <w:shd w:fill="EEF3F8" w:val="clear"/>
            <w:tcMar>
              <w:top w:type="dxa" w:w="60"/>
              <w:left w:type="dxa" w:w="120"/>
              <w:bottom w:type="dxa" w:w="60"/>
              <w:right w:type="dxa" w:w="120"/>
            </w:tcMar>
          </w:tcPr>
          <w:p>
            <w:r>
              <w:rPr>
                <w:sz w:val="20"/>
                <w:szCs w:val="20"/>
              </w:rPr>
              <w:t xml:space="preserve">Paul: “Delete these messages after reading”</w:t>
            </w:r>
          </w:p>
        </w:tc>
        <w:tc>
          <w:tcPr>
            <w:tcW w:type="dxa" w:w="2260"/>
            <w:tcBorders>
              <w:top w:val="single" w:color="CCCCCC" w:sz="1"/>
              <w:left w:val="single" w:color="CCCCCC" w:sz="1"/>
              <w:bottom w:val="single" w:color="CCCCCC" w:sz="1"/>
              <w:right w:val="single" w:color="CCCCCC" w:sz="1"/>
            </w:tcBorders>
            <w:shd w:fill="EEF3F8" w:val="clear"/>
            <w:tcMar>
              <w:top w:type="dxa" w:w="60"/>
              <w:left w:type="dxa" w:w="120"/>
              <w:bottom w:type="dxa" w:w="60"/>
              <w:right w:type="dxa" w:w="120"/>
            </w:tcMar>
          </w:tcPr>
          <w:p>
            <w:r>
              <w:rPr>
                <w:sz w:val="20"/>
                <w:szCs w:val="20"/>
              </w:rPr>
              <w:t xml:space="preserve">WhatsApp MSG005</w:t>
            </w:r>
          </w:p>
        </w:tc>
      </w:tr>
      <w:tr>
        <w:tc>
          <w:tcPr>
            <w:tcW w:type="dxa" w:w="13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03 Jan 2025</w:t>
            </w:r>
          </w:p>
        </w:tc>
        <w:tc>
          <w:tcPr>
            <w:tcW w:type="dxa" w:w="5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Boss_directives_Q1.txt received via ProtonMail — Q1 strategy set out</w:t>
            </w:r>
          </w:p>
        </w:tc>
        <w:tc>
          <w:tcPr>
            <w:tcW w:type="dxa" w:w="22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PM-2025-0005 / Dropbox</w:t>
            </w:r>
          </w:p>
        </w:tc>
      </w:tr>
      <w:tr>
        <w:tc>
          <w:tcPr>
            <w:tcW w:type="dxa" w:w="1300"/>
            <w:tcBorders>
              <w:top w:val="single" w:color="CCCCCC" w:sz="1"/>
              <w:left w:val="single" w:color="CCCCCC" w:sz="1"/>
              <w:bottom w:val="single" w:color="CCCCCC" w:sz="1"/>
              <w:right w:val="single" w:color="CCCCCC" w:sz="1"/>
            </w:tcBorders>
            <w:shd w:fill="EEF3F8" w:val="clear"/>
            <w:tcMar>
              <w:top w:type="dxa" w:w="60"/>
              <w:left w:type="dxa" w:w="120"/>
              <w:bottom w:type="dxa" w:w="60"/>
              <w:right w:type="dxa" w:w="120"/>
            </w:tcMar>
          </w:tcPr>
          <w:p>
            <w:r>
              <w:rPr>
                <w:sz w:val="20"/>
                <w:szCs w:val="20"/>
              </w:rPr>
              <w:t xml:space="preserve">05–07 Jan 2025</w:t>
            </w:r>
          </w:p>
        </w:tc>
        <w:tc>
          <w:tcPr>
            <w:tcW w:type="dxa" w:w="5800"/>
            <w:tcBorders>
              <w:top w:val="single" w:color="CCCCCC" w:sz="1"/>
              <w:left w:val="single" w:color="CCCCCC" w:sz="1"/>
              <w:bottom w:val="single" w:color="CCCCCC" w:sz="1"/>
              <w:right w:val="single" w:color="CCCCCC" w:sz="1"/>
            </w:tcBorders>
            <w:shd w:fill="EEF3F8" w:val="clear"/>
            <w:tcMar>
              <w:top w:type="dxa" w:w="60"/>
              <w:left w:type="dxa" w:w="120"/>
              <w:bottom w:type="dxa" w:w="60"/>
              <w:right w:type="dxa" w:w="120"/>
            </w:tcMar>
          </w:tcPr>
          <w:p>
            <w:r>
              <w:rPr>
                <w:sz w:val="20"/>
                <w:szCs w:val="20"/>
              </w:rPr>
              <w:t xml:space="preserve">Searches: offshore movement, AML detection, FIC reporting threshold</w:t>
            </w:r>
          </w:p>
        </w:tc>
        <w:tc>
          <w:tcPr>
            <w:tcW w:type="dxa" w:w="2260"/>
            <w:tcBorders>
              <w:top w:val="single" w:color="CCCCCC" w:sz="1"/>
              <w:left w:val="single" w:color="CCCCCC" w:sz="1"/>
              <w:bottom w:val="single" w:color="CCCCCC" w:sz="1"/>
              <w:right w:val="single" w:color="CCCCCC" w:sz="1"/>
            </w:tcBorders>
            <w:shd w:fill="EEF3F8" w:val="clear"/>
            <w:tcMar>
              <w:top w:type="dxa" w:w="60"/>
              <w:left w:type="dxa" w:w="120"/>
              <w:bottom w:type="dxa" w:w="60"/>
              <w:right w:type="dxa" w:w="120"/>
            </w:tcMar>
          </w:tcPr>
          <w:p>
            <w:r>
              <w:rPr>
                <w:sz w:val="20"/>
                <w:szCs w:val="20"/>
              </w:rPr>
              <w:t xml:space="preserve">Browser history</w:t>
            </w:r>
          </w:p>
        </w:tc>
      </w:tr>
      <w:tr>
        <w:tc>
          <w:tcPr>
            <w:tcW w:type="dxa" w:w="13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08 Jan 2025</w:t>
            </w:r>
          </w:p>
        </w:tc>
        <w:tc>
          <w:tcPr>
            <w:tcW w:type="dxa" w:w="5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Wire TXN-INTL-2025-00882: USD 45,000 to Al Maktoum Holdings, Dubai (“Consultancy Services”)</w:t>
            </w:r>
          </w:p>
        </w:tc>
        <w:tc>
          <w:tcPr>
            <w:tcW w:type="dxa" w:w="22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Email confirmation</w:t>
            </w:r>
          </w:p>
        </w:tc>
      </w:tr>
      <w:tr>
        <w:tc>
          <w:tcPr>
            <w:tcW w:type="dxa" w:w="1300"/>
            <w:tcBorders>
              <w:top w:val="single" w:color="CCCCCC" w:sz="1"/>
              <w:left w:val="single" w:color="CCCCCC" w:sz="1"/>
              <w:bottom w:val="single" w:color="CCCCCC" w:sz="1"/>
              <w:right w:val="single" w:color="CCCCCC" w:sz="1"/>
            </w:tcBorders>
            <w:shd w:fill="EEF3F8" w:val="clear"/>
            <w:tcMar>
              <w:top w:type="dxa" w:w="60"/>
              <w:left w:type="dxa" w:w="120"/>
              <w:bottom w:type="dxa" w:w="60"/>
              <w:right w:type="dxa" w:w="120"/>
            </w:tcMar>
          </w:tcPr>
          <w:p>
            <w:r>
              <w:rPr>
                <w:sz w:val="20"/>
                <w:szCs w:val="20"/>
              </w:rPr>
              <w:t xml:space="preserve">12 Jan 2025</w:t>
            </w:r>
          </w:p>
        </w:tc>
        <w:tc>
          <w:tcPr>
            <w:tcW w:type="dxa" w:w="5800"/>
            <w:tcBorders>
              <w:top w:val="single" w:color="CCCCCC" w:sz="1"/>
              <w:left w:val="single" w:color="CCCCCC" w:sz="1"/>
              <w:bottom w:val="single" w:color="CCCCCC" w:sz="1"/>
              <w:right w:val="single" w:color="CCCCCC" w:sz="1"/>
            </w:tcBorders>
            <w:shd w:fill="EEF3F8" w:val="clear"/>
            <w:tcMar>
              <w:top w:type="dxa" w:w="60"/>
              <w:left w:type="dxa" w:w="120"/>
              <w:bottom w:type="dxa" w:w="60"/>
              <w:right w:type="dxa" w:w="120"/>
            </w:tcMar>
          </w:tcPr>
          <w:p>
            <w:r>
              <w:rPr>
                <w:sz w:val="20"/>
                <w:szCs w:val="20"/>
              </w:rPr>
              <w:t xml:space="preserve">Mary confirms Dubai transfer landed, no flags; next tranche USD 60,000 planned</w:t>
            </w:r>
          </w:p>
        </w:tc>
        <w:tc>
          <w:tcPr>
            <w:tcW w:type="dxa" w:w="2260"/>
            <w:tcBorders>
              <w:top w:val="single" w:color="CCCCCC" w:sz="1"/>
              <w:left w:val="single" w:color="CCCCCC" w:sz="1"/>
              <w:bottom w:val="single" w:color="CCCCCC" w:sz="1"/>
              <w:right w:val="single" w:color="CCCCCC" w:sz="1"/>
            </w:tcBorders>
            <w:shd w:fill="EEF3F8" w:val="clear"/>
            <w:tcMar>
              <w:top w:type="dxa" w:w="60"/>
              <w:left w:type="dxa" w:w="120"/>
              <w:bottom w:type="dxa" w:w="60"/>
              <w:right w:type="dxa" w:w="120"/>
            </w:tcMar>
          </w:tcPr>
          <w:p>
            <w:r>
              <w:rPr>
                <w:sz w:val="20"/>
                <w:szCs w:val="20"/>
              </w:rPr>
              <w:t xml:space="preserve">WhatsApp MSG015–017</w:t>
            </w:r>
          </w:p>
        </w:tc>
      </w:tr>
      <w:tr>
        <w:tc>
          <w:tcPr>
            <w:tcW w:type="dxa" w:w="13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13 Jan 2025</w:t>
            </w:r>
          </w:p>
        </w:tc>
        <w:tc>
          <w:tcPr>
            <w:tcW w:type="dxa" w:w="5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Philip asked to source falsified invoices via Gyimah for the large amount</w:t>
            </w:r>
          </w:p>
        </w:tc>
        <w:tc>
          <w:tcPr>
            <w:tcW w:type="dxa" w:w="22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WhatsApp MSG018–019</w:t>
            </w:r>
          </w:p>
        </w:tc>
      </w:tr>
      <w:tr>
        <w:tc>
          <w:tcPr>
            <w:tcW w:type="dxa" w:w="1300"/>
            <w:tcBorders>
              <w:top w:val="single" w:color="CCCCCC" w:sz="1"/>
              <w:left w:val="single" w:color="CCCCCC" w:sz="1"/>
              <w:bottom w:val="single" w:color="CCCCCC" w:sz="1"/>
              <w:right w:val="single" w:color="CCCCCC" w:sz="1"/>
            </w:tcBorders>
            <w:shd w:fill="EEF3F8" w:val="clear"/>
            <w:tcMar>
              <w:top w:type="dxa" w:w="60"/>
              <w:left w:type="dxa" w:w="120"/>
              <w:bottom w:type="dxa" w:w="60"/>
              <w:right w:type="dxa" w:w="120"/>
            </w:tcMar>
          </w:tcPr>
          <w:p>
            <w:r>
              <w:rPr>
                <w:sz w:val="20"/>
                <w:szCs w:val="20"/>
              </w:rPr>
              <w:t xml:space="preserve">15 Jan 2025</w:t>
            </w:r>
          </w:p>
        </w:tc>
        <w:tc>
          <w:tcPr>
            <w:tcW w:type="dxa" w:w="5800"/>
            <w:tcBorders>
              <w:top w:val="single" w:color="CCCCCC" w:sz="1"/>
              <w:left w:val="single" w:color="CCCCCC" w:sz="1"/>
              <w:bottom w:val="single" w:color="CCCCCC" w:sz="1"/>
              <w:right w:val="single" w:color="CCCCCC" w:sz="1"/>
            </w:tcBorders>
            <w:shd w:fill="EEF3F8" w:val="clear"/>
            <w:tcMar>
              <w:top w:type="dxa" w:w="60"/>
              <w:left w:type="dxa" w:w="120"/>
              <w:bottom w:type="dxa" w:w="60"/>
              <w:right w:type="dxa" w:w="120"/>
            </w:tcMar>
          </w:tcPr>
          <w:p>
            <w:r>
              <w:rPr>
                <w:sz w:val="20"/>
                <w:szCs w:val="20"/>
              </w:rPr>
              <w:t xml:space="preserve">Kumasi batch GH¢120,000 split across 4 accounts; roles assigned (Philip / Mary)</w:t>
            </w:r>
          </w:p>
        </w:tc>
        <w:tc>
          <w:tcPr>
            <w:tcW w:type="dxa" w:w="2260"/>
            <w:tcBorders>
              <w:top w:val="single" w:color="CCCCCC" w:sz="1"/>
              <w:left w:val="single" w:color="CCCCCC" w:sz="1"/>
              <w:bottom w:val="single" w:color="CCCCCC" w:sz="1"/>
              <w:right w:val="single" w:color="CCCCCC" w:sz="1"/>
            </w:tcBorders>
            <w:shd w:fill="EEF3F8" w:val="clear"/>
            <w:tcMar>
              <w:top w:type="dxa" w:w="60"/>
              <w:left w:type="dxa" w:w="120"/>
              <w:bottom w:type="dxa" w:w="60"/>
              <w:right w:type="dxa" w:w="120"/>
            </w:tcMar>
          </w:tcPr>
          <w:p>
            <w:r>
              <w:rPr>
                <w:sz w:val="20"/>
                <w:szCs w:val="20"/>
              </w:rPr>
              <w:t xml:space="preserve">WhatsApp MSG006–008</w:t>
            </w:r>
          </w:p>
        </w:tc>
      </w:tr>
      <w:tr>
        <w:tc>
          <w:tcPr>
            <w:tcW w:type="dxa" w:w="13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15 Jan 2025</w:t>
            </w:r>
          </w:p>
        </w:tc>
        <w:tc>
          <w:tcPr>
            <w:tcW w:type="dxa" w:w="5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Philip ordered to collect GH¢75,000 from Tarkwa, drop at Accra Central without using his name</w:t>
            </w:r>
          </w:p>
        </w:tc>
        <w:tc>
          <w:tcPr>
            <w:tcW w:type="dxa" w:w="22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WhatsApp MSG027–029</w:t>
            </w:r>
          </w:p>
        </w:tc>
      </w:tr>
      <w:tr>
        <w:tc>
          <w:tcPr>
            <w:tcW w:type="dxa" w:w="1300"/>
            <w:tcBorders>
              <w:top w:val="single" w:color="CCCCCC" w:sz="1"/>
              <w:left w:val="single" w:color="CCCCCC" w:sz="1"/>
              <w:bottom w:val="single" w:color="CCCCCC" w:sz="1"/>
              <w:right w:val="single" w:color="CCCCCC" w:sz="1"/>
            </w:tcBorders>
            <w:shd w:fill="EEF3F8" w:val="clear"/>
            <w:tcMar>
              <w:top w:type="dxa" w:w="60"/>
              <w:left w:type="dxa" w:w="120"/>
              <w:bottom w:type="dxa" w:w="60"/>
              <w:right w:type="dxa" w:w="120"/>
            </w:tcMar>
          </w:tcPr>
          <w:p>
            <w:r>
              <w:rPr>
                <w:sz w:val="20"/>
                <w:szCs w:val="20"/>
              </w:rPr>
              <w:t xml:space="preserve">15 Jan 2025</w:t>
            </w:r>
          </w:p>
        </w:tc>
        <w:tc>
          <w:tcPr>
            <w:tcW w:type="dxa" w:w="5800"/>
            <w:tcBorders>
              <w:top w:val="single" w:color="CCCCCC" w:sz="1"/>
              <w:left w:val="single" w:color="CCCCCC" w:sz="1"/>
              <w:bottom w:val="single" w:color="CCCCCC" w:sz="1"/>
              <w:right w:val="single" w:color="CCCCCC" w:sz="1"/>
            </w:tcBorders>
            <w:shd w:fill="EEF3F8" w:val="clear"/>
            <w:tcMar>
              <w:top w:type="dxa" w:w="60"/>
              <w:left w:type="dxa" w:w="120"/>
              <w:bottom w:type="dxa" w:w="60"/>
              <w:right w:type="dxa" w:w="120"/>
            </w:tcMar>
          </w:tcPr>
          <w:p>
            <w:r>
              <w:rPr>
                <w:sz w:val="20"/>
                <w:szCs w:val="20"/>
              </w:rPr>
              <w:t xml:space="preserve">Receipt issued under Delta Ventures Ltd name; instruction to “burn the receipt”</w:t>
            </w:r>
          </w:p>
        </w:tc>
        <w:tc>
          <w:tcPr>
            <w:tcW w:type="dxa" w:w="2260"/>
            <w:tcBorders>
              <w:top w:val="single" w:color="CCCCCC" w:sz="1"/>
              <w:left w:val="single" w:color="CCCCCC" w:sz="1"/>
              <w:bottom w:val="single" w:color="CCCCCC" w:sz="1"/>
              <w:right w:val="single" w:color="CCCCCC" w:sz="1"/>
            </w:tcBorders>
            <w:shd w:fill="EEF3F8" w:val="clear"/>
            <w:tcMar>
              <w:top w:type="dxa" w:w="60"/>
              <w:left w:type="dxa" w:w="120"/>
              <w:bottom w:type="dxa" w:w="60"/>
              <w:right w:type="dxa" w:w="120"/>
            </w:tcMar>
          </w:tcPr>
          <w:p>
            <w:r>
              <w:rPr>
                <w:sz w:val="20"/>
                <w:szCs w:val="20"/>
              </w:rPr>
              <w:t xml:space="preserve">WhatsApp MSG030–031</w:t>
            </w:r>
          </w:p>
        </w:tc>
      </w:tr>
      <w:tr>
        <w:tc>
          <w:tcPr>
            <w:tcW w:type="dxa" w:w="13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17 Jan 2025</w:t>
            </w:r>
          </w:p>
        </w:tc>
        <w:tc>
          <w:tcPr>
            <w:tcW w:type="dxa" w:w="5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Search: “falsify invoice ghana company”</w:t>
            </w:r>
          </w:p>
        </w:tc>
        <w:tc>
          <w:tcPr>
            <w:tcW w:type="dxa" w:w="22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Browser history</w:t>
            </w:r>
          </w:p>
        </w:tc>
      </w:tr>
      <w:tr>
        <w:tc>
          <w:tcPr>
            <w:tcW w:type="dxa" w:w="1300"/>
            <w:tcBorders>
              <w:top w:val="single" w:color="CCCCCC" w:sz="1"/>
              <w:left w:val="single" w:color="CCCCCC" w:sz="1"/>
              <w:bottom w:val="single" w:color="CCCCCC" w:sz="1"/>
              <w:right w:val="single" w:color="CCCCCC" w:sz="1"/>
            </w:tcBorders>
            <w:shd w:fill="EEF3F8" w:val="clear"/>
            <w:tcMar>
              <w:top w:type="dxa" w:w="60"/>
              <w:left w:type="dxa" w:w="120"/>
              <w:bottom w:type="dxa" w:w="60"/>
              <w:right w:type="dxa" w:w="120"/>
            </w:tcMar>
          </w:tcPr>
          <w:p>
            <w:r>
              <w:rPr>
                <w:sz w:val="20"/>
                <w:szCs w:val="20"/>
              </w:rPr>
              <w:t xml:space="preserve">18 Jan 2025</w:t>
            </w:r>
          </w:p>
        </w:tc>
        <w:tc>
          <w:tcPr>
            <w:tcW w:type="dxa" w:w="5800"/>
            <w:tcBorders>
              <w:top w:val="single" w:color="CCCCCC" w:sz="1"/>
              <w:left w:val="single" w:color="CCCCCC" w:sz="1"/>
              <w:bottom w:val="single" w:color="CCCCCC" w:sz="1"/>
              <w:right w:val="single" w:color="CCCCCC" w:sz="1"/>
            </w:tcBorders>
            <w:shd w:fill="EEF3F8" w:val="clear"/>
            <w:tcMar>
              <w:top w:type="dxa" w:w="60"/>
              <w:left w:type="dxa" w:w="120"/>
              <w:bottom w:type="dxa" w:w="60"/>
              <w:right w:type="dxa" w:w="120"/>
            </w:tcMar>
          </w:tcPr>
          <w:p>
            <w:r>
              <w:rPr>
                <w:sz w:val="20"/>
                <w:szCs w:val="20"/>
              </w:rPr>
              <w:t xml:space="preserve">Wire TXN-INTL-2025-00943: USD 60,000 to Limassol Trade &amp; Advisory Ltd, Cyprus (“Software License Fees”)</w:t>
            </w:r>
          </w:p>
        </w:tc>
        <w:tc>
          <w:tcPr>
            <w:tcW w:type="dxa" w:w="2260"/>
            <w:tcBorders>
              <w:top w:val="single" w:color="CCCCCC" w:sz="1"/>
              <w:left w:val="single" w:color="CCCCCC" w:sz="1"/>
              <w:bottom w:val="single" w:color="CCCCCC" w:sz="1"/>
              <w:right w:val="single" w:color="CCCCCC" w:sz="1"/>
            </w:tcBorders>
            <w:shd w:fill="EEF3F8" w:val="clear"/>
            <w:tcMar>
              <w:top w:type="dxa" w:w="60"/>
              <w:left w:type="dxa" w:w="120"/>
              <w:bottom w:type="dxa" w:w="60"/>
              <w:right w:type="dxa" w:w="120"/>
            </w:tcMar>
          </w:tcPr>
          <w:p>
            <w:r>
              <w:rPr>
                <w:sz w:val="20"/>
                <w:szCs w:val="20"/>
              </w:rPr>
              <w:t xml:space="preserve">Email confirmation</w:t>
            </w:r>
          </w:p>
        </w:tc>
      </w:tr>
      <w:tr>
        <w:tc>
          <w:tcPr>
            <w:tcW w:type="dxa" w:w="13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19 Jan 2025</w:t>
            </w:r>
          </w:p>
        </w:tc>
        <w:tc>
          <w:tcPr>
            <w:tcW w:type="dxa" w:w="5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FIC query TRK-2025-0118 ordered withdrawn for GH¢5,000 (FIC corruption)</w:t>
            </w:r>
          </w:p>
        </w:tc>
        <w:tc>
          <w:tcPr>
            <w:tcW w:type="dxa" w:w="22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PM-2025-0003 / FIC_contact_details.txt</w:t>
            </w:r>
          </w:p>
        </w:tc>
      </w:tr>
      <w:tr>
        <w:tc>
          <w:tcPr>
            <w:tcW w:type="dxa" w:w="1300"/>
            <w:tcBorders>
              <w:top w:val="single" w:color="CCCCCC" w:sz="1"/>
              <w:left w:val="single" w:color="CCCCCC" w:sz="1"/>
              <w:bottom w:val="single" w:color="CCCCCC" w:sz="1"/>
              <w:right w:val="single" w:color="CCCCCC" w:sz="1"/>
            </w:tcBorders>
            <w:shd w:fill="EEF3F8" w:val="clear"/>
            <w:tcMar>
              <w:top w:type="dxa" w:w="60"/>
              <w:left w:type="dxa" w:w="120"/>
              <w:bottom w:type="dxa" w:w="60"/>
              <w:right w:type="dxa" w:w="120"/>
            </w:tcMar>
          </w:tcPr>
          <w:p>
            <w:r>
              <w:rPr>
                <w:sz w:val="20"/>
                <w:szCs w:val="20"/>
              </w:rPr>
              <w:t xml:space="preserve">19–20 Jan 2025</w:t>
            </w:r>
          </w:p>
        </w:tc>
        <w:tc>
          <w:tcPr>
            <w:tcW w:type="dxa" w:w="5800"/>
            <w:tcBorders>
              <w:top w:val="single" w:color="CCCCCC" w:sz="1"/>
              <w:left w:val="single" w:color="CCCCCC" w:sz="1"/>
              <w:bottom w:val="single" w:color="CCCCCC" w:sz="1"/>
              <w:right w:val="single" w:color="CCCCCC" w:sz="1"/>
            </w:tcBorders>
            <w:shd w:fill="EEF3F8" w:val="clear"/>
            <w:tcMar>
              <w:top w:type="dxa" w:w="60"/>
              <w:left w:type="dxa" w:w="120"/>
              <w:bottom w:type="dxa" w:w="60"/>
              <w:right w:type="dxa" w:w="120"/>
            </w:tcMar>
          </w:tcPr>
          <w:p>
            <w:r>
              <w:rPr>
                <w:sz w:val="20"/>
                <w:szCs w:val="20"/>
              </w:rPr>
              <w:t xml:space="preserve">Second offshore tranche confirmed; ledger_offshore_Q1.xlsx uploaded to Dropbox</w:t>
            </w:r>
          </w:p>
        </w:tc>
        <w:tc>
          <w:tcPr>
            <w:tcW w:type="dxa" w:w="2260"/>
            <w:tcBorders>
              <w:top w:val="single" w:color="CCCCCC" w:sz="1"/>
              <w:left w:val="single" w:color="CCCCCC" w:sz="1"/>
              <w:bottom w:val="single" w:color="CCCCCC" w:sz="1"/>
              <w:right w:val="single" w:color="CCCCCC" w:sz="1"/>
            </w:tcBorders>
            <w:shd w:fill="EEF3F8" w:val="clear"/>
            <w:tcMar>
              <w:top w:type="dxa" w:w="60"/>
              <w:left w:type="dxa" w:w="120"/>
              <w:bottom w:type="dxa" w:w="60"/>
              <w:right w:type="dxa" w:w="120"/>
            </w:tcMar>
          </w:tcPr>
          <w:p>
            <w:r>
              <w:rPr>
                <w:sz w:val="20"/>
                <w:szCs w:val="20"/>
              </w:rPr>
              <w:t xml:space="preserve">WhatsApp MSG022–024</w:t>
            </w:r>
          </w:p>
        </w:tc>
      </w:tr>
      <w:tr>
        <w:tc>
          <w:tcPr>
            <w:tcW w:type="dxa" w:w="13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20 Jan 2025</w:t>
            </w:r>
          </w:p>
        </w:tc>
        <w:tc>
          <w:tcPr>
            <w:tcW w:type="dxa" w:w="5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Mary confirms FIC payment arrangement, queries delivery method</w:t>
            </w:r>
          </w:p>
        </w:tc>
        <w:tc>
          <w:tcPr>
            <w:tcW w:type="dxa" w:w="22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PM-2025-0004</w:t>
            </w:r>
          </w:p>
        </w:tc>
      </w:tr>
      <w:tr>
        <w:tc>
          <w:tcPr>
            <w:tcW w:type="dxa" w:w="1300"/>
            <w:tcBorders>
              <w:top w:val="single" w:color="CCCCCC" w:sz="1"/>
              <w:left w:val="single" w:color="CCCCCC" w:sz="1"/>
              <w:bottom w:val="single" w:color="CCCCCC" w:sz="1"/>
              <w:right w:val="single" w:color="CCCCCC" w:sz="1"/>
            </w:tcBorders>
            <w:shd w:fill="EEF3F8" w:val="clear"/>
            <w:tcMar>
              <w:top w:type="dxa" w:w="60"/>
              <w:left w:type="dxa" w:w="120"/>
              <w:bottom w:type="dxa" w:w="60"/>
              <w:right w:type="dxa" w:w="120"/>
            </w:tcMar>
          </w:tcPr>
          <w:p>
            <w:r>
              <w:rPr>
                <w:sz w:val="20"/>
                <w:szCs w:val="20"/>
              </w:rPr>
              <w:t xml:space="preserve">31 Jan 2025</w:t>
            </w:r>
          </w:p>
        </w:tc>
        <w:tc>
          <w:tcPr>
            <w:tcW w:type="dxa" w:w="5800"/>
            <w:tcBorders>
              <w:top w:val="single" w:color="CCCCCC" w:sz="1"/>
              <w:left w:val="single" w:color="CCCCCC" w:sz="1"/>
              <w:bottom w:val="single" w:color="CCCCCC" w:sz="1"/>
              <w:right w:val="single" w:color="CCCCCC" w:sz="1"/>
            </w:tcBorders>
            <w:shd w:fill="EEF3F8" w:val="clear"/>
            <w:tcMar>
              <w:top w:type="dxa" w:w="60"/>
              <w:left w:type="dxa" w:w="120"/>
              <w:bottom w:type="dxa" w:w="60"/>
              <w:right w:type="dxa" w:w="120"/>
            </w:tcMar>
          </w:tcPr>
          <w:p>
            <w:r>
              <w:rPr>
                <w:sz w:val="20"/>
                <w:szCs w:val="20"/>
              </w:rPr>
              <w:t xml:space="preserve">Philip confirms collection of further cash, awaits drop-off location</w:t>
            </w:r>
          </w:p>
        </w:tc>
        <w:tc>
          <w:tcPr>
            <w:tcW w:type="dxa" w:w="2260"/>
            <w:tcBorders>
              <w:top w:val="single" w:color="CCCCCC" w:sz="1"/>
              <w:left w:val="single" w:color="CCCCCC" w:sz="1"/>
              <w:bottom w:val="single" w:color="CCCCCC" w:sz="1"/>
              <w:right w:val="single" w:color="CCCCCC" w:sz="1"/>
            </w:tcBorders>
            <w:shd w:fill="EEF3F8" w:val="clear"/>
            <w:tcMar>
              <w:top w:type="dxa" w:w="60"/>
              <w:left w:type="dxa" w:w="120"/>
              <w:bottom w:type="dxa" w:w="60"/>
              <w:right w:type="dxa" w:w="120"/>
            </w:tcMar>
          </w:tcPr>
          <w:p>
            <w:r>
              <w:rPr>
                <w:sz w:val="20"/>
                <w:szCs w:val="20"/>
              </w:rPr>
              <w:t xml:space="preserve">WhatsApp MSG028</w:t>
            </w:r>
          </w:p>
        </w:tc>
      </w:tr>
      <w:tr>
        <w:tc>
          <w:tcPr>
            <w:tcW w:type="dxa" w:w="13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01 Feb 2025</w:t>
            </w:r>
          </w:p>
        </w:tc>
        <w:tc>
          <w:tcPr>
            <w:tcW w:type="dxa" w:w="5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New GH¢200,000 invoice routed through construction company front (invoice_Feb2025.pdf)</w:t>
            </w:r>
          </w:p>
        </w:tc>
        <w:tc>
          <w:tcPr>
            <w:tcW w:type="dxa" w:w="22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WhatsApp MSG009–010 / Dropbox</w:t>
            </w:r>
          </w:p>
        </w:tc>
      </w:tr>
      <w:tr>
        <w:tc>
          <w:tcPr>
            <w:tcW w:type="dxa" w:w="1300"/>
            <w:tcBorders>
              <w:top w:val="single" w:color="CCCCCC" w:sz="1"/>
              <w:left w:val="single" w:color="CCCCCC" w:sz="1"/>
              <w:bottom w:val="single" w:color="CCCCCC" w:sz="1"/>
              <w:right w:val="single" w:color="CCCCCC" w:sz="1"/>
            </w:tcBorders>
            <w:shd w:fill="EEF3F8" w:val="clear"/>
            <w:tcMar>
              <w:top w:type="dxa" w:w="60"/>
              <w:left w:type="dxa" w:w="120"/>
              <w:bottom w:type="dxa" w:w="60"/>
              <w:right w:type="dxa" w:w="120"/>
            </w:tcMar>
          </w:tcPr>
          <w:p>
            <w:r>
              <w:rPr>
                <w:sz w:val="20"/>
                <w:szCs w:val="20"/>
              </w:rPr>
              <w:t xml:space="preserve">03–04 Feb 2025</w:t>
            </w:r>
          </w:p>
        </w:tc>
        <w:tc>
          <w:tcPr>
            <w:tcW w:type="dxa" w:w="5800"/>
            <w:tcBorders>
              <w:top w:val="single" w:color="CCCCCC" w:sz="1"/>
              <w:left w:val="single" w:color="CCCCCC" w:sz="1"/>
              <w:bottom w:val="single" w:color="CCCCCC" w:sz="1"/>
              <w:right w:val="single" w:color="CCCCCC" w:sz="1"/>
            </w:tcBorders>
            <w:shd w:fill="EEF3F8" w:val="clear"/>
            <w:tcMar>
              <w:top w:type="dxa" w:w="60"/>
              <w:left w:type="dxa" w:w="120"/>
              <w:bottom w:type="dxa" w:w="60"/>
              <w:right w:type="dxa" w:w="120"/>
            </w:tcMar>
          </w:tcPr>
          <w:p>
            <w:r>
              <w:rPr>
                <w:sz w:val="20"/>
                <w:szCs w:val="20"/>
              </w:rPr>
              <w:t xml:space="preserve">Police checkpoint on Accra-Kumasi road; instruction to reschedule cash run</w:t>
            </w:r>
          </w:p>
        </w:tc>
        <w:tc>
          <w:tcPr>
            <w:tcW w:type="dxa" w:w="2260"/>
            <w:tcBorders>
              <w:top w:val="single" w:color="CCCCCC" w:sz="1"/>
              <w:left w:val="single" w:color="CCCCCC" w:sz="1"/>
              <w:bottom w:val="single" w:color="CCCCCC" w:sz="1"/>
              <w:right w:val="single" w:color="CCCCCC" w:sz="1"/>
            </w:tcBorders>
            <w:shd w:fill="EEF3F8" w:val="clear"/>
            <w:tcMar>
              <w:top w:type="dxa" w:w="60"/>
              <w:left w:type="dxa" w:w="120"/>
              <w:bottom w:type="dxa" w:w="60"/>
              <w:right w:type="dxa" w:w="120"/>
            </w:tcMar>
          </w:tcPr>
          <w:p>
            <w:r>
              <w:rPr>
                <w:sz w:val="20"/>
                <w:szCs w:val="20"/>
              </w:rPr>
              <w:t xml:space="preserve">WhatsApp MSG032–033</w:t>
            </w:r>
          </w:p>
        </w:tc>
      </w:tr>
      <w:tr>
        <w:tc>
          <w:tcPr>
            <w:tcW w:type="dxa" w:w="13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03 Feb 2025</w:t>
            </w:r>
          </w:p>
        </w:tc>
        <w:tc>
          <w:tcPr>
            <w:tcW w:type="dxa" w:w="5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Search: “police checkpoint accra kumasi highway”</w:t>
            </w:r>
          </w:p>
        </w:tc>
        <w:tc>
          <w:tcPr>
            <w:tcW w:type="dxa" w:w="22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Browser history</w:t>
            </w:r>
          </w:p>
        </w:tc>
      </w:tr>
      <w:tr>
        <w:tc>
          <w:tcPr>
            <w:tcW w:type="dxa" w:w="1300"/>
            <w:tcBorders>
              <w:top w:val="single" w:color="CCCCCC" w:sz="1"/>
              <w:left w:val="single" w:color="CCCCCC" w:sz="1"/>
              <w:bottom w:val="single" w:color="CCCCCC" w:sz="1"/>
              <w:right w:val="single" w:color="CCCCCC" w:sz="1"/>
            </w:tcBorders>
            <w:shd w:fill="EEF3F8" w:val="clear"/>
            <w:tcMar>
              <w:top w:type="dxa" w:w="60"/>
              <w:left w:type="dxa" w:w="120"/>
              <w:bottom w:type="dxa" w:w="60"/>
              <w:right w:type="dxa" w:w="120"/>
            </w:tcMar>
          </w:tcPr>
          <w:p>
            <w:r>
              <w:rPr>
                <w:sz w:val="20"/>
                <w:szCs w:val="20"/>
              </w:rPr>
              <w:t xml:space="preserve">10 Feb 2025</w:t>
            </w:r>
          </w:p>
        </w:tc>
        <w:tc>
          <w:tcPr>
            <w:tcW w:type="dxa" w:w="5800"/>
            <w:tcBorders>
              <w:top w:val="single" w:color="CCCCCC" w:sz="1"/>
              <w:left w:val="single" w:color="CCCCCC" w:sz="1"/>
              <w:bottom w:val="single" w:color="CCCCCC" w:sz="1"/>
              <w:right w:val="single" w:color="CCCCCC" w:sz="1"/>
            </w:tcBorders>
            <w:shd w:fill="EEF3F8" w:val="clear"/>
            <w:tcMar>
              <w:top w:type="dxa" w:w="60"/>
              <w:left w:type="dxa" w:w="120"/>
              <w:bottom w:type="dxa" w:w="60"/>
              <w:right w:type="dxa" w:w="120"/>
            </w:tcMar>
          </w:tcPr>
          <w:p>
            <w:r>
              <w:rPr>
                <w:sz w:val="20"/>
                <w:szCs w:val="20"/>
              </w:rPr>
              <w:t xml:space="preserve">Kumasi Stanbic GH¢55,000 collected by Kofi, confirmed “back room as usual”</w:t>
            </w:r>
          </w:p>
        </w:tc>
        <w:tc>
          <w:tcPr>
            <w:tcW w:type="dxa" w:w="2260"/>
            <w:tcBorders>
              <w:top w:val="single" w:color="CCCCCC" w:sz="1"/>
              <w:left w:val="single" w:color="CCCCCC" w:sz="1"/>
              <w:bottom w:val="single" w:color="CCCCCC" w:sz="1"/>
              <w:right w:val="single" w:color="CCCCCC" w:sz="1"/>
            </w:tcBorders>
            <w:shd w:fill="EEF3F8" w:val="clear"/>
            <w:tcMar>
              <w:top w:type="dxa" w:w="60"/>
              <w:left w:type="dxa" w:w="120"/>
              <w:bottom w:type="dxa" w:w="60"/>
              <w:right w:type="dxa" w:w="120"/>
            </w:tcMar>
          </w:tcPr>
          <w:p>
            <w:r>
              <w:rPr>
                <w:sz w:val="20"/>
                <w:szCs w:val="20"/>
              </w:rPr>
              <w:t xml:space="preserve">WhatsApp MSG034–036</w:t>
            </w:r>
          </w:p>
        </w:tc>
      </w:tr>
      <w:tr>
        <w:tc>
          <w:tcPr>
            <w:tcW w:type="dxa" w:w="13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20 Feb 2025</w:t>
            </w:r>
          </w:p>
        </w:tc>
        <w:tc>
          <w:tcPr>
            <w:tcW w:type="dxa" w:w="5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14 falsified invoices confirmed ready (GH¢677,000), archived to falsified_invoices_Q1.zip</w:t>
            </w:r>
          </w:p>
        </w:tc>
        <w:tc>
          <w:tcPr>
            <w:tcW w:type="dxa" w:w="22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Email — RE_EXPORTS_2025_Dropbox.eml</w:t>
            </w:r>
          </w:p>
        </w:tc>
      </w:tr>
      <w:tr>
        <w:tc>
          <w:tcPr>
            <w:tcW w:type="dxa" w:w="1300"/>
            <w:tcBorders>
              <w:top w:val="single" w:color="CCCCCC" w:sz="1"/>
              <w:left w:val="single" w:color="CCCCCC" w:sz="1"/>
              <w:bottom w:val="single" w:color="CCCCCC" w:sz="1"/>
              <w:right w:val="single" w:color="CCCCCC" w:sz="1"/>
            </w:tcBorders>
            <w:shd w:fill="EEF3F8" w:val="clear"/>
            <w:tcMar>
              <w:top w:type="dxa" w:w="60"/>
              <w:left w:type="dxa" w:w="120"/>
              <w:bottom w:type="dxa" w:w="60"/>
              <w:right w:type="dxa" w:w="120"/>
            </w:tcMar>
          </w:tcPr>
          <w:p>
            <w:r>
              <w:rPr>
                <w:sz w:val="20"/>
                <w:szCs w:val="20"/>
              </w:rPr>
              <w:t xml:space="preserve">23 Feb 2025</w:t>
            </w:r>
          </w:p>
        </w:tc>
        <w:tc>
          <w:tcPr>
            <w:tcW w:type="dxa" w:w="5800"/>
            <w:tcBorders>
              <w:top w:val="single" w:color="CCCCCC" w:sz="1"/>
              <w:left w:val="single" w:color="CCCCCC" w:sz="1"/>
              <w:bottom w:val="single" w:color="CCCCCC" w:sz="1"/>
              <w:right w:val="single" w:color="CCCCCC" w:sz="1"/>
            </w:tcBorders>
            <w:shd w:fill="EEF3F8" w:val="clear"/>
            <w:tcMar>
              <w:top w:type="dxa" w:w="60"/>
              <w:left w:type="dxa" w:w="120"/>
              <w:bottom w:type="dxa" w:w="60"/>
              <w:right w:type="dxa" w:w="120"/>
            </w:tcMar>
          </w:tcPr>
          <w:p>
            <w:r>
              <w:rPr>
                <w:sz w:val="20"/>
                <w:szCs w:val="20"/>
              </w:rPr>
              <w:t xml:space="preserve">Search: “SWIFT wire transfer no trace ghana”</w:t>
            </w:r>
          </w:p>
        </w:tc>
        <w:tc>
          <w:tcPr>
            <w:tcW w:type="dxa" w:w="2260"/>
            <w:tcBorders>
              <w:top w:val="single" w:color="CCCCCC" w:sz="1"/>
              <w:left w:val="single" w:color="CCCCCC" w:sz="1"/>
              <w:bottom w:val="single" w:color="CCCCCC" w:sz="1"/>
              <w:right w:val="single" w:color="CCCCCC" w:sz="1"/>
            </w:tcBorders>
            <w:shd w:fill="EEF3F8" w:val="clear"/>
            <w:tcMar>
              <w:top w:type="dxa" w:w="60"/>
              <w:left w:type="dxa" w:w="120"/>
              <w:bottom w:type="dxa" w:w="60"/>
              <w:right w:type="dxa" w:w="120"/>
            </w:tcMar>
          </w:tcPr>
          <w:p>
            <w:r>
              <w:rPr>
                <w:sz w:val="20"/>
                <w:szCs w:val="20"/>
              </w:rPr>
              <w:t xml:space="preserve">Browser history</w:t>
            </w:r>
          </w:p>
        </w:tc>
      </w:tr>
      <w:tr>
        <w:tc>
          <w:tcPr>
            <w:tcW w:type="dxa" w:w="13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28 Feb 2025</w:t>
            </w:r>
          </w:p>
        </w:tc>
        <w:tc>
          <w:tcPr>
            <w:tcW w:type="dxa" w:w="5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Q1 Summary to Boss: GH¢487,000 processed, USD 105,000 offshore, no alerts</w:t>
            </w:r>
          </w:p>
        </w:tc>
        <w:tc>
          <w:tcPr>
            <w:tcW w:type="dxa" w:w="22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PM-2025-0001</w:t>
            </w:r>
          </w:p>
        </w:tc>
      </w:tr>
      <w:tr>
        <w:tc>
          <w:tcPr>
            <w:tcW w:type="dxa" w:w="1300"/>
            <w:tcBorders>
              <w:top w:val="single" w:color="CCCCCC" w:sz="1"/>
              <w:left w:val="single" w:color="CCCCCC" w:sz="1"/>
              <w:bottom w:val="single" w:color="CCCCCC" w:sz="1"/>
              <w:right w:val="single" w:color="CCCCCC" w:sz="1"/>
            </w:tcBorders>
            <w:shd w:fill="EEF3F8" w:val="clear"/>
            <w:tcMar>
              <w:top w:type="dxa" w:w="60"/>
              <w:left w:type="dxa" w:w="120"/>
              <w:bottom w:type="dxa" w:w="60"/>
              <w:right w:type="dxa" w:w="120"/>
            </w:tcMar>
          </w:tcPr>
          <w:p>
            <w:r>
              <w:rPr>
                <w:sz w:val="20"/>
                <w:szCs w:val="20"/>
              </w:rPr>
              <w:t xml:space="preserve">01 Mar 2025</w:t>
            </w:r>
          </w:p>
        </w:tc>
        <w:tc>
          <w:tcPr>
            <w:tcW w:type="dxa" w:w="5800"/>
            <w:tcBorders>
              <w:top w:val="single" w:color="CCCCCC" w:sz="1"/>
              <w:left w:val="single" w:color="CCCCCC" w:sz="1"/>
              <w:bottom w:val="single" w:color="CCCCCC" w:sz="1"/>
              <w:right w:val="single" w:color="CCCCCC" w:sz="1"/>
            </w:tcBorders>
            <w:shd w:fill="EEF3F8" w:val="clear"/>
            <w:tcMar>
              <w:top w:type="dxa" w:w="60"/>
              <w:left w:type="dxa" w:w="120"/>
              <w:bottom w:type="dxa" w:w="60"/>
              <w:right w:type="dxa" w:w="120"/>
            </w:tcMar>
          </w:tcPr>
          <w:p>
            <w:r>
              <w:rPr>
                <w:sz w:val="20"/>
                <w:szCs w:val="20"/>
              </w:rPr>
              <w:t xml:space="preserve">Boss directs Q2 expansion: new Kumasi front, expand AMF channel</w:t>
            </w:r>
          </w:p>
        </w:tc>
        <w:tc>
          <w:tcPr>
            <w:tcW w:type="dxa" w:w="2260"/>
            <w:tcBorders>
              <w:top w:val="single" w:color="CCCCCC" w:sz="1"/>
              <w:left w:val="single" w:color="CCCCCC" w:sz="1"/>
              <w:bottom w:val="single" w:color="CCCCCC" w:sz="1"/>
              <w:right w:val="single" w:color="CCCCCC" w:sz="1"/>
            </w:tcBorders>
            <w:shd w:fill="EEF3F8" w:val="clear"/>
            <w:tcMar>
              <w:top w:type="dxa" w:w="60"/>
              <w:left w:type="dxa" w:w="120"/>
              <w:bottom w:type="dxa" w:w="60"/>
              <w:right w:type="dxa" w:w="120"/>
            </w:tcMar>
          </w:tcPr>
          <w:p>
            <w:r>
              <w:rPr>
                <w:sz w:val="20"/>
                <w:szCs w:val="20"/>
              </w:rPr>
              <w:t xml:space="preserve">PM-2025-0002</w:t>
            </w:r>
          </w:p>
        </w:tc>
      </w:tr>
      <w:tr>
        <w:tc>
          <w:tcPr>
            <w:tcW w:type="dxa" w:w="13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07 Mar 2025</w:t>
            </w:r>
          </w:p>
        </w:tc>
        <w:tc>
          <w:tcPr>
            <w:tcW w:type="dxa" w:w="5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Cape Coast cash run, GH¢40,000, instructed to take coast road</w:t>
            </w:r>
          </w:p>
        </w:tc>
        <w:tc>
          <w:tcPr>
            <w:tcW w:type="dxa" w:w="22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WhatsApp MSG037–039</w:t>
            </w:r>
          </w:p>
        </w:tc>
      </w:tr>
      <w:tr>
        <w:tc>
          <w:tcPr>
            <w:tcW w:type="dxa" w:w="1300"/>
            <w:tcBorders>
              <w:top w:val="single" w:color="CCCCCC" w:sz="1"/>
              <w:left w:val="single" w:color="CCCCCC" w:sz="1"/>
              <w:bottom w:val="single" w:color="CCCCCC" w:sz="1"/>
              <w:right w:val="single" w:color="CCCCCC" w:sz="1"/>
            </w:tcBorders>
            <w:shd w:fill="EEF3F8" w:val="clear"/>
            <w:tcMar>
              <w:top w:type="dxa" w:w="60"/>
              <w:left w:type="dxa" w:w="120"/>
              <w:bottom w:type="dxa" w:w="60"/>
              <w:right w:type="dxa" w:w="120"/>
            </w:tcMar>
          </w:tcPr>
          <w:p>
            <w:r>
              <w:rPr>
                <w:sz w:val="20"/>
                <w:szCs w:val="20"/>
              </w:rPr>
              <w:t xml:space="preserve">10 Mar 2025</w:t>
            </w:r>
          </w:p>
        </w:tc>
        <w:tc>
          <w:tcPr>
            <w:tcW w:type="dxa" w:w="5800"/>
            <w:tcBorders>
              <w:top w:val="single" w:color="CCCCCC" w:sz="1"/>
              <w:left w:val="single" w:color="CCCCCC" w:sz="1"/>
              <w:bottom w:val="single" w:color="CCCCCC" w:sz="1"/>
              <w:right w:val="single" w:color="CCCCCC" w:sz="1"/>
            </w:tcBorders>
            <w:shd w:fill="EEF3F8" w:val="clear"/>
            <w:tcMar>
              <w:top w:type="dxa" w:w="60"/>
              <w:left w:type="dxa" w:w="120"/>
              <w:bottom w:type="dxa" w:w="60"/>
              <w:right w:type="dxa" w:w="120"/>
            </w:tcMar>
          </w:tcPr>
          <w:p>
            <w:r>
              <w:rPr>
                <w:sz w:val="20"/>
                <w:szCs w:val="20"/>
              </w:rPr>
              <w:t xml:space="preserve">Group chat: Q1 target confirmed (GH¢500,000), actual GH¢487,000; proceed to Q2</w:t>
            </w:r>
          </w:p>
        </w:tc>
        <w:tc>
          <w:tcPr>
            <w:tcW w:type="dxa" w:w="2260"/>
            <w:tcBorders>
              <w:top w:val="single" w:color="CCCCCC" w:sz="1"/>
              <w:left w:val="single" w:color="CCCCCC" w:sz="1"/>
              <w:bottom w:val="single" w:color="CCCCCC" w:sz="1"/>
              <w:right w:val="single" w:color="CCCCCC" w:sz="1"/>
            </w:tcBorders>
            <w:shd w:fill="EEF3F8" w:val="clear"/>
            <w:tcMar>
              <w:top w:type="dxa" w:w="60"/>
              <w:left w:type="dxa" w:w="120"/>
              <w:bottom w:type="dxa" w:w="60"/>
              <w:right w:type="dxa" w:w="120"/>
            </w:tcMar>
          </w:tcPr>
          <w:p>
            <w:r>
              <w:rPr>
                <w:sz w:val="20"/>
                <w:szCs w:val="20"/>
              </w:rPr>
              <w:t xml:space="preserve">WhatsApp MSG040–046</w:t>
            </w:r>
          </w:p>
        </w:tc>
      </w:tr>
      <w:tr>
        <w:tc>
          <w:tcPr>
            <w:tcW w:type="dxa" w:w="13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(undated)</w:t>
            </w:r>
          </w:p>
        </w:tc>
        <w:tc>
          <w:tcPr>
            <w:tcW w:type="dxa" w:w="5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Searches relating to deleting WhatsApp messages and wiping browser history (anti-forensic attempt)</w:t>
            </w:r>
          </w:p>
        </w:tc>
        <w:tc>
          <w:tcPr>
            <w:tcW w:type="dxa" w:w="22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Browser history (URL IDs 21–22)</w:t>
            </w:r>
          </w:p>
        </w:tc>
      </w:tr>
      <w:tr>
        <w:tc>
          <w:tcPr>
            <w:tcW w:type="dxa" w:w="1300"/>
            <w:tcBorders>
              <w:top w:val="single" w:color="CCCCCC" w:sz="1"/>
              <w:left w:val="single" w:color="CCCCCC" w:sz="1"/>
              <w:bottom w:val="single" w:color="CCCCCC" w:sz="1"/>
              <w:right w:val="single" w:color="CCCCCC" w:sz="1"/>
            </w:tcBorders>
            <w:shd w:fill="EEF3F8" w:val="clear"/>
            <w:tcMar>
              <w:top w:type="dxa" w:w="60"/>
              <w:left w:type="dxa" w:w="120"/>
              <w:bottom w:type="dxa" w:w="60"/>
              <w:right w:type="dxa" w:w="120"/>
            </w:tcMar>
          </w:tcPr>
          <w:p>
            <w:r>
              <w:rPr>
                <w:sz w:val="20"/>
                <w:szCs w:val="20"/>
              </w:rPr>
              <w:t xml:space="preserve">15 Mar 2025</w:t>
            </w:r>
          </w:p>
        </w:tc>
        <w:tc>
          <w:tcPr>
            <w:tcW w:type="dxa" w:w="5800"/>
            <w:tcBorders>
              <w:top w:val="single" w:color="CCCCCC" w:sz="1"/>
              <w:left w:val="single" w:color="CCCCCC" w:sz="1"/>
              <w:bottom w:val="single" w:color="CCCCCC" w:sz="1"/>
              <w:right w:val="single" w:color="CCCCCC" w:sz="1"/>
            </w:tcBorders>
            <w:shd w:fill="EEF3F8" w:val="clear"/>
            <w:tcMar>
              <w:top w:type="dxa" w:w="60"/>
              <w:left w:type="dxa" w:w="120"/>
              <w:bottom w:type="dxa" w:w="60"/>
              <w:right w:type="dxa" w:w="120"/>
            </w:tcMar>
          </w:tcPr>
          <w:p>
            <w:r>
              <w:rPr>
                <w:sz w:val="20"/>
                <w:szCs w:val="20"/>
              </w:rPr>
              <w:t xml:space="preserve">Search and seizure executed at Delta Ventures Ltd premises; laptop seized</w:t>
            </w:r>
          </w:p>
        </w:tc>
        <w:tc>
          <w:tcPr>
            <w:tcW w:type="dxa" w:w="2260"/>
            <w:tcBorders>
              <w:top w:val="single" w:color="CCCCCC" w:sz="1"/>
              <w:left w:val="single" w:color="CCCCCC" w:sz="1"/>
              <w:bottom w:val="single" w:color="CCCCCC" w:sz="1"/>
              <w:right w:val="single" w:color="CCCCCC" w:sz="1"/>
            </w:tcBorders>
            <w:shd w:fill="EEF3F8" w:val="clear"/>
            <w:tcMar>
              <w:top w:type="dxa" w:w="60"/>
              <w:left w:type="dxa" w:w="120"/>
              <w:bottom w:type="dxa" w:w="60"/>
              <w:right w:type="dxa" w:w="120"/>
            </w:tcMar>
          </w:tcPr>
          <w:p>
            <w:r>
              <w:rPr>
                <w:sz w:val="20"/>
                <w:szCs w:val="20"/>
              </w:rPr>
              <w:t xml:space="preserve">Case briefing</w:t>
            </w:r>
          </w:p>
        </w:tc>
      </w:tr>
    </w:tbl>
    <w:p>
      <w:pPr>
        <w:pStyle w:val="Heading2"/>
      </w:pPr>
      <w:r>
        <w:t xml:space="preserve">Task 21: Identify the Three Stages</w:t>
      </w:r>
    </w:p>
    <w:p>
      <w:pPr>
        <w:spacing w:after="120"/>
      </w:pPr>
      <w:r>
        <w:t xml:space="preserve">The operation conforms closely to the classical three-stage money laundering model (Placement, Layering, Integration), with a fourth, cross-cutting layer of regulatory corruption protecting the entire process.</w:t>
      </w:r>
    </w:p>
    <w:p>
      <w:pPr>
        <w:pStyle w:val="Heading3"/>
      </w:pPr>
      <w:r>
        <w:t xml:space="preserve">Stage 1 — Placement</w:t>
      </w:r>
    </w:p>
    <w:p>
      <w:pPr>
        <w:spacing w:after="120"/>
      </w:pPr>
      <w:r>
        <w:t xml:space="preserve">Cash collected from multiple regional sources (Tarkwa: GH¢75,000; Kumasi: GH¢55,000 and GH¢120,000; Cape Coast: GH¢40,000) by Philip and Kofi was introduced into the financial system in structured amounts, each kept below the GH¢9,500 cap specified in Boss_directives_Q1.txt (itself derived from a browser search of the FIC reporting threshold), via Nancy through Accra Microfinance under reference REF-AML-2025-0041.</w:t>
      </w:r>
    </w:p>
    <w:p>
      <w:pPr>
        <w:pStyle w:val="Heading3"/>
      </w:pPr>
      <w:r>
        <w:t xml:space="preserve">Stage 2 — Layering</w:t>
      </w:r>
    </w:p>
    <w:p>
      <w:pPr>
        <w:spacing w:after="120"/>
      </w:pPr>
      <w:r>
        <w:t xml:space="preserve">Domestic funds were routed through three front companies — Delta Ventures Ltd, Gyimah Construction &amp; Supplies, and West Coast Logistics Ltd — supported by 14 falsified invoices totalling GH¢677,000. These funds were then converted into international wire transfers disguised as legitimate trade transactions: USD 45,000 to Al Maktoum Investment Holdings (Dubai) described as “Consultancy Services”, and USD 60,000 to Limassol Trade &amp; Advisory Ltd (Cyprus) described as “Software License Fees.”</w:t>
      </w:r>
    </w:p>
    <w:p>
      <w:pPr>
        <w:pStyle w:val="Heading3"/>
      </w:pPr>
      <w:r>
        <w:t xml:space="preserve">Stage 3 — Integration</w:t>
      </w:r>
    </w:p>
    <w:p>
      <w:pPr>
        <w:spacing w:after="120"/>
      </w:pPr>
      <w:r>
        <w:t xml:space="preserve">The offshore accounts in Dubai and Cyprus hold the laundered USD 105,000, reported to “Boss” as fully processed with “no alerts” (PM-2025-0001). These funds now present as legitimate consultancy and software-licensing revenue in jurisdictions disconnected from the originating cash, available for reinvestment — consistent with the directed Q2 expansion (new Kumasi front, expanded AMF channel).</w:t>
      </w:r>
    </w:p>
    <w:p>
      <w:pPr>
        <w:pStyle w:val="Heading3"/>
      </w:pPr>
      <w:r>
        <w:t xml:space="preserve">Cross-Cutting Layer — Corruption &amp; Obstruction</w:t>
      </w:r>
    </w:p>
    <w:p>
      <w:pPr>
        <w:spacing w:after="120"/>
      </w:pPr>
      <w:r>
        <w:t xml:space="preserve">Running in parallel to all three stages, a quarterly GH¢5,000 cash payment to a Senior Compliance Officer at the FIC (delivered via Philip and the intermediary “Kweku”) directly resulted in the withdrawal of regulatory query TRK-2025-0118, shielding the operation from detection at a critical point in the placement/layering boundary.</w:t>
      </w:r>
    </w:p>
    <w:p>
      <w:pPr>
        <w:pStyle w:val="Heading2"/>
      </w:pPr>
      <w:r>
        <w:t xml:space="preserve">Task 22: Deleted Evidence Recovery</w:t>
      </w:r>
    </w:p>
    <w:p>
      <w:pPr>
        <w:spacing w:after="120"/>
      </w:pPr>
      <w:r>
        <w:t xml:space="preserve">Several deleted or attempted-to-be-deleted items were recovered:</w:t>
      </w:r>
    </w:p>
    <w:p>
      <w:pPr>
        <w:pStyle w:val="ListParagraph"/>
        <w:numPr>
          <w:ilvl w:val="0"/>
          <w:numId w:val="3"/>
        </w:numPr>
        <w:spacing w:after="60"/>
      </w:pPr>
      <w:r>
        <w:t xml:space="preserve">/OLD/ledger_2024_Q3.xlsx (deleted, Dropbox journal id 13) — a prior quarter's laundering ledger, demonstrating that the scheme is recurring rather than isolated to Q1 2025.</w:t>
      </w:r>
    </w:p>
    <w:p>
      <w:pPr>
        <w:pStyle w:val="ListParagraph"/>
        <w:numPr>
          <w:ilvl w:val="0"/>
          <w:numId w:val="3"/>
        </w:numPr>
        <w:spacing w:after="60"/>
      </w:pPr>
      <w:r>
        <w:t xml:space="preserve">/OLD/contacts_dirty.txt (deleted, Dropbox journal id 14) — an earlier version of the network's associate contact list.</w:t>
      </w:r>
    </w:p>
    <w:p>
      <w:pPr>
        <w:pStyle w:val="ListParagraph"/>
        <w:numPr>
          <w:ilvl w:val="0"/>
          <w:numId w:val="3"/>
        </w:numPr>
        <w:spacing w:after="60"/>
      </w:pPr>
      <w:r>
        <w:t xml:space="preserve">/OLD/offshore_routing_2024.txt (deleted, Dropbox journal id 15) — 2024 offshore routing details, predating the Dubai/Cyprus routes used in Q1 2025, indicating route rotation as an anti-detection technique across operational cycles.</w:t>
      </w:r>
    </w:p>
    <w:p>
      <w:pPr>
        <w:pStyle w:val="ListParagraph"/>
        <w:numPr>
          <w:ilvl w:val="0"/>
          <w:numId w:val="3"/>
        </w:numPr>
        <w:spacing w:after="60"/>
      </w:pPr>
      <w:r>
        <w:t xml:space="preserve">WhatsApp messages 1–55 remained fully recoverable in msgstore.db despite the explicit instruction in MSG005 to delete them — either the instruction was not followed, or deletion (if attempted) removed messages from the user interface without purging the underlying SQLite records.</w:t>
      </w:r>
    </w:p>
    <w:p>
      <w:pPr>
        <w:pStyle w:val="ListParagraph"/>
        <w:numPr>
          <w:ilvl w:val="0"/>
          <w:numId w:val="3"/>
        </w:numPr>
        <w:spacing w:after="60"/>
      </w:pPr>
      <w:r>
        <w:t xml:space="preserve">The browser search “CCleaner delete browser history permanently” (Task 18) survived within the keyword_search_terms table despite apparently being made in an attempt to use such a tool to erase browsing history — the cleaning tool's own search query was not itself removed.</w:t>
      </w:r>
    </w:p>
    <w:p>
      <w:pPr>
        <w:pStyle w:val="ListParagraph"/>
        <w:numPr>
          <w:ilvl w:val="0"/>
          <w:numId w:val="3"/>
        </w:numPr>
        <w:spacing w:after="60"/>
      </w:pPr>
      <w:r>
        <w:t xml:space="preserve">The physical receipt referenced in MSG030–031 was reportedly burned and cannot be recovered; however, its prior existence — and its link to Delta Ventures Ltd — is documented in the WhatsApp exchange and is relevant to chain-of-custody and provenance arguments concerning the seized premises.</w:t>
      </w:r>
    </w:p>
    <w:p>
      <w:pPr>
        <w:pStyle w:val="Heading2"/>
      </w:pPr>
      <w:r>
        <w:t xml:space="preserve">Task 23: Suspect Network Diagram</w:t>
      </w:r>
    </w:p>
    <w:p>
      <w:pPr>
        <w:spacing w:after="120"/>
      </w:pPr>
      <w:r>
        <w:t xml:space="preserve">The diagram below summarises the command structure, named individuals, front companies, and offshore destinations identified during this examination.</w:t>
      </w:r>
    </w:p>
    <w:p>
      <w:pPr>
        <w:pStyle w:val="Heading3"/>
      </w:pPr>
      <w:r>
        <w:t xml:space="preserve">Command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400"/>
        <w:gridCol w:w="3360"/>
        <w:gridCol w:w="2800"/>
      </w:tblGrid>
      <w:tr>
        <w:trPr>
          <w:tblHeader/>
        </w:trPr>
        <w:tc>
          <w:tcPr>
            <w:tcW w:type="dxa" w:w="800"/>
            <w:tcBorders>
              <w:top w:val="single" w:color="CCCCCC" w:sz="1"/>
              <w:left w:val="single" w:color="CCCCCC" w:sz="1"/>
              <w:bottom w:val="single" w:color="CCCCCC" w:sz="1"/>
              <w:right w:val="single" w:color="CCCCCC" w:sz="1"/>
            </w:tcBorders>
            <w:shd w:fill="2E5C8A" w:val="clear"/>
            <w:tcMar>
              <w:top w:type="dxa" w:w="80"/>
              <w:left w:type="dxa" w:w="120"/>
              <w:bottom w:type="dxa" w:w="80"/>
              <w:right w:type="dxa" w:w="120"/>
            </w:tcMar>
          </w:tcPr>
          <w:p>
            <w:r>
              <w:rPr>
                <w:b/>
                <w:bCs/>
                <w:color w:val="FFFFFF"/>
                <w:sz w:val="20"/>
                <w:szCs w:val="20"/>
              </w:rPr>
              <w:t xml:space="preserve">Tier</w:t>
            </w:r>
          </w:p>
        </w:tc>
        <w:tc>
          <w:tcPr>
            <w:tcW w:type="dxa" w:w="2400"/>
            <w:tcBorders>
              <w:top w:val="single" w:color="CCCCCC" w:sz="1"/>
              <w:left w:val="single" w:color="CCCCCC" w:sz="1"/>
              <w:bottom w:val="single" w:color="CCCCCC" w:sz="1"/>
              <w:right w:val="single" w:color="CCCCCC" w:sz="1"/>
            </w:tcBorders>
            <w:shd w:fill="2E5C8A" w:val="clear"/>
            <w:tcMar>
              <w:top w:type="dxa" w:w="80"/>
              <w:left w:type="dxa" w:w="120"/>
              <w:bottom w:type="dxa" w:w="80"/>
              <w:right w:type="dxa" w:w="120"/>
            </w:tcMar>
          </w:tcPr>
          <w:p>
            <w:r>
              <w:rPr>
                <w:b/>
                <w:bCs/>
                <w:color w:val="FFFFFF"/>
                <w:sz w:val="20"/>
                <w:szCs w:val="20"/>
              </w:rPr>
              <w:t xml:space="preserve">Entity</w:t>
            </w:r>
          </w:p>
        </w:tc>
        <w:tc>
          <w:tcPr>
            <w:tcW w:type="dxa" w:w="3360"/>
            <w:tcBorders>
              <w:top w:val="single" w:color="CCCCCC" w:sz="1"/>
              <w:left w:val="single" w:color="CCCCCC" w:sz="1"/>
              <w:bottom w:val="single" w:color="CCCCCC" w:sz="1"/>
              <w:right w:val="single" w:color="CCCCCC" w:sz="1"/>
            </w:tcBorders>
            <w:shd w:fill="2E5C8A" w:val="clear"/>
            <w:tcMar>
              <w:top w:type="dxa" w:w="80"/>
              <w:left w:type="dxa" w:w="120"/>
              <w:bottom w:type="dxa" w:w="80"/>
              <w:right w:type="dxa" w:w="120"/>
            </w:tcMar>
          </w:tcPr>
          <w:p>
            <w:r>
              <w:rPr>
                <w:b/>
                <w:bCs/>
                <w:color w:val="FFFFFF"/>
                <w:sz w:val="20"/>
                <w:szCs w:val="20"/>
              </w:rPr>
              <w:t xml:space="preserve">Identifiers</w:t>
            </w:r>
          </w:p>
        </w:tc>
        <w:tc>
          <w:tcPr>
            <w:tcW w:type="dxa" w:w="2800"/>
            <w:tcBorders>
              <w:top w:val="single" w:color="CCCCCC" w:sz="1"/>
              <w:left w:val="single" w:color="CCCCCC" w:sz="1"/>
              <w:bottom w:val="single" w:color="CCCCCC" w:sz="1"/>
              <w:right w:val="single" w:color="CCCCCC" w:sz="1"/>
            </w:tcBorders>
            <w:shd w:fill="2E5C8A" w:val="clear"/>
            <w:tcMar>
              <w:top w:type="dxa" w:w="80"/>
              <w:left w:type="dxa" w:w="120"/>
              <w:bottom w:type="dxa" w:w="80"/>
              <w:right w:type="dxa" w:w="120"/>
            </w:tcMar>
          </w:tcPr>
          <w:p>
            <w:r>
              <w:rPr>
                <w:b/>
                <w:bCs/>
                <w:color w:val="FFFFFF"/>
                <w:sz w:val="20"/>
                <w:szCs w:val="20"/>
              </w:rPr>
              <w:t xml:space="preserve">Function</w:t>
            </w:r>
          </w:p>
        </w:tc>
      </w:tr>
      <w:tr>
        <w:tc>
          <w:tcPr>
            <w:tcW w:type="dxa" w:w="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1</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“Boss” (concealed superior)</w:t>
            </w:r>
          </w:p>
        </w:tc>
        <w:tc>
          <w:tcPr>
            <w:tcW w:type="dxa" w:w="3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bigdirector.anon@proton.me</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Sets quarterly targets and strategic direction; receives weekly/periodic reports</w:t>
            </w:r>
          </w:p>
        </w:tc>
      </w:tr>
      <w:tr>
        <w:tc>
          <w:tcPr>
            <w:tcW w:type="dxa" w:w="800"/>
            <w:tcBorders>
              <w:top w:val="single" w:color="CCCCCC" w:sz="1"/>
              <w:left w:val="single" w:color="CCCCCC" w:sz="1"/>
              <w:bottom w:val="single" w:color="CCCCCC" w:sz="1"/>
              <w:right w:val="single" w:color="CCCCCC" w:sz="1"/>
            </w:tcBorders>
            <w:shd w:fill="EEF3F8" w:val="clear"/>
            <w:tcMar>
              <w:top w:type="dxa" w:w="60"/>
              <w:left w:type="dxa" w:w="120"/>
              <w:bottom w:type="dxa" w:w="60"/>
              <w:right w:type="dxa" w:w="120"/>
            </w:tcMar>
          </w:tcPr>
          <w:p>
            <w:r>
              <w:rPr>
                <w:sz w:val="20"/>
                <w:szCs w:val="20"/>
              </w:rPr>
              <w:t xml:space="preserve">2</w:t>
            </w:r>
          </w:p>
        </w:tc>
        <w:tc>
          <w:tcPr>
            <w:tcW w:type="dxa" w:w="2400"/>
            <w:tcBorders>
              <w:top w:val="single" w:color="CCCCCC" w:sz="1"/>
              <w:left w:val="single" w:color="CCCCCC" w:sz="1"/>
              <w:bottom w:val="single" w:color="CCCCCC" w:sz="1"/>
              <w:right w:val="single" w:color="CCCCCC" w:sz="1"/>
            </w:tcBorders>
            <w:shd w:fill="EEF3F8" w:val="clear"/>
            <w:tcMar>
              <w:top w:type="dxa" w:w="60"/>
              <w:left w:type="dxa" w:w="120"/>
              <w:bottom w:type="dxa" w:w="60"/>
              <w:right w:type="dxa" w:w="120"/>
            </w:tcMar>
          </w:tcPr>
          <w:p>
            <w:r>
              <w:rPr>
                <w:sz w:val="20"/>
                <w:szCs w:val="20"/>
              </w:rPr>
              <w:t xml:space="preserve">Paul Addo (suspect)</w:t>
            </w:r>
          </w:p>
        </w:tc>
        <w:tc>
          <w:tcPr>
            <w:tcW w:type="dxa" w:w="3360"/>
            <w:tcBorders>
              <w:top w:val="single" w:color="CCCCCC" w:sz="1"/>
              <w:left w:val="single" w:color="CCCCCC" w:sz="1"/>
              <w:bottom w:val="single" w:color="CCCCCC" w:sz="1"/>
              <w:right w:val="single" w:color="CCCCCC" w:sz="1"/>
            </w:tcBorders>
            <w:shd w:fill="EEF3F8" w:val="clear"/>
            <w:tcMar>
              <w:top w:type="dxa" w:w="60"/>
              <w:left w:type="dxa" w:w="120"/>
              <w:bottom w:type="dxa" w:w="60"/>
              <w:right w:type="dxa" w:w="120"/>
            </w:tcMar>
          </w:tcPr>
          <w:p>
            <w:r>
              <w:rPr>
                <w:sz w:val="20"/>
                <w:szCs w:val="20"/>
              </w:rPr>
              <w:t xml:space="preserve">233283913821 (WhatsApp) / paul.addo.accragh@gmail.com / paul.addo.ventures@gmail.com / paddo.secure@proton.me</w:t>
            </w:r>
          </w:p>
        </w:tc>
        <w:tc>
          <w:tcPr>
            <w:tcW w:type="dxa" w:w="2800"/>
            <w:tcBorders>
              <w:top w:val="single" w:color="CCCCCC" w:sz="1"/>
              <w:left w:val="single" w:color="CCCCCC" w:sz="1"/>
              <w:bottom w:val="single" w:color="CCCCCC" w:sz="1"/>
              <w:right w:val="single" w:color="CCCCCC" w:sz="1"/>
            </w:tcBorders>
            <w:shd w:fill="EEF3F8" w:val="clear"/>
            <w:tcMar>
              <w:top w:type="dxa" w:w="60"/>
              <w:left w:type="dxa" w:w="120"/>
              <w:bottom w:type="dxa" w:w="60"/>
              <w:right w:type="dxa" w:w="120"/>
            </w:tcMar>
          </w:tcPr>
          <w:p>
            <w:r>
              <w:rPr>
                <w:sz w:val="20"/>
                <w:szCs w:val="20"/>
              </w:rPr>
              <w:t xml:space="preserve">Central coordinator; communicates with Boss and all subordinates under multiple aliases</w:t>
            </w:r>
          </w:p>
        </w:tc>
      </w:tr>
      <w:tr>
        <w:tc>
          <w:tcPr>
            <w:tcW w:type="dxa" w:w="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3</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Nancy</w:t>
            </w:r>
          </w:p>
        </w:tc>
        <w:tc>
          <w:tcPr>
            <w:tcW w:type="dxa" w:w="3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233283913821 (WhatsApp)</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Microfinance payment processing (Accra Microfinance)</w:t>
            </w:r>
          </w:p>
        </w:tc>
      </w:tr>
      <w:tr>
        <w:tc>
          <w:tcPr>
            <w:tcW w:type="dxa" w:w="800"/>
            <w:tcBorders>
              <w:top w:val="single" w:color="CCCCCC" w:sz="1"/>
              <w:left w:val="single" w:color="CCCCCC" w:sz="1"/>
              <w:bottom w:val="single" w:color="CCCCCC" w:sz="1"/>
              <w:right w:val="single" w:color="CCCCCC" w:sz="1"/>
            </w:tcBorders>
            <w:shd w:fill="EEF3F8" w:val="clear"/>
            <w:tcMar>
              <w:top w:type="dxa" w:w="60"/>
              <w:left w:type="dxa" w:w="120"/>
              <w:bottom w:type="dxa" w:w="60"/>
              <w:right w:type="dxa" w:w="120"/>
            </w:tcMar>
          </w:tcPr>
          <w:p>
            <w:r>
              <w:rPr>
                <w:sz w:val="20"/>
                <w:szCs w:val="20"/>
              </w:rPr>
              <w:t xml:space="preserve">3</w:t>
            </w:r>
          </w:p>
        </w:tc>
        <w:tc>
          <w:tcPr>
            <w:tcW w:type="dxa" w:w="2400"/>
            <w:tcBorders>
              <w:top w:val="single" w:color="CCCCCC" w:sz="1"/>
              <w:left w:val="single" w:color="CCCCCC" w:sz="1"/>
              <w:bottom w:val="single" w:color="CCCCCC" w:sz="1"/>
              <w:right w:val="single" w:color="CCCCCC" w:sz="1"/>
            </w:tcBorders>
            <w:shd w:fill="EEF3F8" w:val="clear"/>
            <w:tcMar>
              <w:top w:type="dxa" w:w="60"/>
              <w:left w:type="dxa" w:w="120"/>
              <w:bottom w:type="dxa" w:w="60"/>
              <w:right w:type="dxa" w:w="120"/>
            </w:tcMar>
          </w:tcPr>
          <w:p>
            <w:r>
              <w:rPr>
                <w:sz w:val="20"/>
                <w:szCs w:val="20"/>
              </w:rPr>
              <w:t xml:space="preserve">Mary</w:t>
            </w:r>
          </w:p>
        </w:tc>
        <w:tc>
          <w:tcPr>
            <w:tcW w:type="dxa" w:w="3360"/>
            <w:tcBorders>
              <w:top w:val="single" w:color="CCCCCC" w:sz="1"/>
              <w:left w:val="single" w:color="CCCCCC" w:sz="1"/>
              <w:bottom w:val="single" w:color="CCCCCC" w:sz="1"/>
              <w:right w:val="single" w:color="CCCCCC" w:sz="1"/>
            </w:tcBorders>
            <w:shd w:fill="EEF3F8" w:val="clear"/>
            <w:tcMar>
              <w:top w:type="dxa" w:w="60"/>
              <w:left w:type="dxa" w:w="120"/>
              <w:bottom w:type="dxa" w:w="60"/>
              <w:right w:type="dxa" w:w="120"/>
            </w:tcMar>
          </w:tcPr>
          <w:p>
            <w:r>
              <w:rPr>
                <w:sz w:val="20"/>
                <w:szCs w:val="20"/>
              </w:rPr>
              <w:t xml:space="preserve">233287462810 (WhatsApp) / mary.offshore@proton.me / mary.gyasi.finance@gmail.com</w:t>
            </w:r>
          </w:p>
        </w:tc>
        <w:tc>
          <w:tcPr>
            <w:tcW w:type="dxa" w:w="2800"/>
            <w:tcBorders>
              <w:top w:val="single" w:color="CCCCCC" w:sz="1"/>
              <w:left w:val="single" w:color="CCCCCC" w:sz="1"/>
              <w:bottom w:val="single" w:color="CCCCCC" w:sz="1"/>
              <w:right w:val="single" w:color="CCCCCC" w:sz="1"/>
            </w:tcBorders>
            <w:shd w:fill="EEF3F8" w:val="clear"/>
            <w:tcMar>
              <w:top w:type="dxa" w:w="60"/>
              <w:left w:type="dxa" w:w="120"/>
              <w:bottom w:type="dxa" w:w="60"/>
              <w:right w:type="dxa" w:w="120"/>
            </w:tcMar>
          </w:tcPr>
          <w:p>
            <w:r>
              <w:rPr>
                <w:sz w:val="20"/>
                <w:szCs w:val="20"/>
              </w:rPr>
              <w:t xml:space="preserve">Offshore transfers (Dubai/Cyprus); FIC bribery logistics</w:t>
            </w:r>
          </w:p>
        </w:tc>
      </w:tr>
      <w:tr>
        <w:tc>
          <w:tcPr>
            <w:tcW w:type="dxa" w:w="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3</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Philip</w:t>
            </w:r>
          </w:p>
        </w:tc>
        <w:tc>
          <w:tcPr>
            <w:tcW w:type="dxa" w:w="3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233284281931 (WhatsApp)</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Cash courier; sources falsified invoices; delivers FIC bribe to “Kweku”</w:t>
            </w:r>
          </w:p>
        </w:tc>
      </w:tr>
      <w:tr>
        <w:tc>
          <w:tcPr>
            <w:tcW w:type="dxa" w:w="800"/>
            <w:tcBorders>
              <w:top w:val="single" w:color="CCCCCC" w:sz="1"/>
              <w:left w:val="single" w:color="CCCCCC" w:sz="1"/>
              <w:bottom w:val="single" w:color="CCCCCC" w:sz="1"/>
              <w:right w:val="single" w:color="CCCCCC" w:sz="1"/>
            </w:tcBorders>
            <w:shd w:fill="EEF3F8" w:val="clear"/>
            <w:tcMar>
              <w:top w:type="dxa" w:w="60"/>
              <w:left w:type="dxa" w:w="120"/>
              <w:bottom w:type="dxa" w:w="60"/>
              <w:right w:type="dxa" w:w="120"/>
            </w:tcMar>
          </w:tcPr>
          <w:p>
            <w:r>
              <w:rPr>
                <w:sz w:val="20"/>
                <w:szCs w:val="20"/>
              </w:rPr>
              <w:t xml:space="preserve">4</w:t>
            </w:r>
          </w:p>
        </w:tc>
        <w:tc>
          <w:tcPr>
            <w:tcW w:type="dxa" w:w="2400"/>
            <w:tcBorders>
              <w:top w:val="single" w:color="CCCCCC" w:sz="1"/>
              <w:left w:val="single" w:color="CCCCCC" w:sz="1"/>
              <w:bottom w:val="single" w:color="CCCCCC" w:sz="1"/>
              <w:right w:val="single" w:color="CCCCCC" w:sz="1"/>
            </w:tcBorders>
            <w:shd w:fill="EEF3F8" w:val="clear"/>
            <w:tcMar>
              <w:top w:type="dxa" w:w="60"/>
              <w:left w:type="dxa" w:w="120"/>
              <w:bottom w:type="dxa" w:w="60"/>
              <w:right w:type="dxa" w:w="120"/>
            </w:tcMar>
          </w:tcPr>
          <w:p>
            <w:r>
              <w:rPr>
                <w:sz w:val="20"/>
                <w:szCs w:val="20"/>
              </w:rPr>
              <w:t xml:space="preserve">Kofi</w:t>
            </w:r>
          </w:p>
        </w:tc>
        <w:tc>
          <w:tcPr>
            <w:tcW w:type="dxa" w:w="3360"/>
            <w:tcBorders>
              <w:top w:val="single" w:color="CCCCCC" w:sz="1"/>
              <w:left w:val="single" w:color="CCCCCC" w:sz="1"/>
              <w:bottom w:val="single" w:color="CCCCCC" w:sz="1"/>
              <w:right w:val="single" w:color="CCCCCC" w:sz="1"/>
            </w:tcBorders>
            <w:shd w:fill="EEF3F8" w:val="clear"/>
            <w:tcMar>
              <w:top w:type="dxa" w:w="60"/>
              <w:left w:type="dxa" w:w="120"/>
              <w:bottom w:type="dxa" w:w="60"/>
              <w:right w:type="dxa" w:w="120"/>
            </w:tcMar>
          </w:tcPr>
          <w:p>
            <w:r>
              <w:rPr>
                <w:sz w:val="20"/>
                <w:szCs w:val="20"/>
              </w:rPr>
              <w:t xml:space="preserve">(not separately identified)</w:t>
            </w:r>
          </w:p>
        </w:tc>
        <w:tc>
          <w:tcPr>
            <w:tcW w:type="dxa" w:w="2800"/>
            <w:tcBorders>
              <w:top w:val="single" w:color="CCCCCC" w:sz="1"/>
              <w:left w:val="single" w:color="CCCCCC" w:sz="1"/>
              <w:bottom w:val="single" w:color="CCCCCC" w:sz="1"/>
              <w:right w:val="single" w:color="CCCCCC" w:sz="1"/>
            </w:tcBorders>
            <w:shd w:fill="EEF3F8" w:val="clear"/>
            <w:tcMar>
              <w:top w:type="dxa" w:w="60"/>
              <w:left w:type="dxa" w:w="120"/>
              <w:bottom w:type="dxa" w:w="60"/>
              <w:right w:type="dxa" w:w="120"/>
            </w:tcMar>
          </w:tcPr>
          <w:p>
            <w:r>
              <w:rPr>
                <w:sz w:val="20"/>
                <w:szCs w:val="20"/>
              </w:rPr>
              <w:t xml:space="preserve">Sub-courier; Kumasi cash collection</w:t>
            </w:r>
          </w:p>
        </w:tc>
      </w:tr>
      <w:tr>
        <w:tc>
          <w:tcPr>
            <w:tcW w:type="dxa" w:w="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4</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“Kweku”</w:t>
            </w:r>
          </w:p>
        </w:tc>
        <w:tc>
          <w:tcPr>
            <w:tcW w:type="dxa" w:w="3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(unidentified — person of interest)</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Intermediary passing cash bribes to FIC contact</w:t>
            </w:r>
          </w:p>
        </w:tc>
      </w:tr>
      <w:tr>
        <w:tc>
          <w:tcPr>
            <w:tcW w:type="dxa" w:w="800"/>
            <w:tcBorders>
              <w:top w:val="single" w:color="CCCCCC" w:sz="1"/>
              <w:left w:val="single" w:color="CCCCCC" w:sz="1"/>
              <w:bottom w:val="single" w:color="CCCCCC" w:sz="1"/>
              <w:right w:val="single" w:color="CCCCCC" w:sz="1"/>
            </w:tcBorders>
            <w:shd w:fill="EEF3F8" w:val="clear"/>
            <w:tcMar>
              <w:top w:type="dxa" w:w="60"/>
              <w:left w:type="dxa" w:w="120"/>
              <w:bottom w:type="dxa" w:w="60"/>
              <w:right w:type="dxa" w:w="120"/>
            </w:tcMar>
          </w:tcPr>
          <w:p>
            <w:r>
              <w:rPr>
                <w:sz w:val="20"/>
                <w:szCs w:val="20"/>
              </w:rPr>
              <w:t xml:space="preserve">5</w:t>
            </w:r>
          </w:p>
        </w:tc>
        <w:tc>
          <w:tcPr>
            <w:tcW w:type="dxa" w:w="2400"/>
            <w:tcBorders>
              <w:top w:val="single" w:color="CCCCCC" w:sz="1"/>
              <w:left w:val="single" w:color="CCCCCC" w:sz="1"/>
              <w:bottom w:val="single" w:color="CCCCCC" w:sz="1"/>
              <w:right w:val="single" w:color="CCCCCC" w:sz="1"/>
            </w:tcBorders>
            <w:shd w:fill="EEF3F8" w:val="clear"/>
            <w:tcMar>
              <w:top w:type="dxa" w:w="60"/>
              <w:left w:type="dxa" w:w="120"/>
              <w:bottom w:type="dxa" w:w="60"/>
              <w:right w:type="dxa" w:w="120"/>
            </w:tcMar>
          </w:tcPr>
          <w:p>
            <w:r>
              <w:rPr>
                <w:sz w:val="20"/>
                <w:szCs w:val="20"/>
              </w:rPr>
              <w:t xml:space="preserve">FIC Senior Compliance Officer</w:t>
            </w:r>
          </w:p>
        </w:tc>
        <w:tc>
          <w:tcPr>
            <w:tcW w:type="dxa" w:w="3360"/>
            <w:tcBorders>
              <w:top w:val="single" w:color="CCCCCC" w:sz="1"/>
              <w:left w:val="single" w:color="CCCCCC" w:sz="1"/>
              <w:bottom w:val="single" w:color="CCCCCC" w:sz="1"/>
              <w:right w:val="single" w:color="CCCCCC" w:sz="1"/>
            </w:tcBorders>
            <w:shd w:fill="EEF3F8" w:val="clear"/>
            <w:tcMar>
              <w:top w:type="dxa" w:w="60"/>
              <w:left w:type="dxa" w:w="120"/>
              <w:bottom w:type="dxa" w:w="60"/>
              <w:right w:type="dxa" w:w="120"/>
            </w:tcMar>
          </w:tcPr>
          <w:p>
            <w:r>
              <w:rPr>
                <w:sz w:val="20"/>
                <w:szCs w:val="20"/>
              </w:rPr>
              <w:t xml:space="preserve">(redacted in source document)</w:t>
            </w:r>
          </w:p>
        </w:tc>
        <w:tc>
          <w:tcPr>
            <w:tcW w:type="dxa" w:w="2800"/>
            <w:tcBorders>
              <w:top w:val="single" w:color="CCCCCC" w:sz="1"/>
              <w:left w:val="single" w:color="CCCCCC" w:sz="1"/>
              <w:bottom w:val="single" w:color="CCCCCC" w:sz="1"/>
              <w:right w:val="single" w:color="CCCCCC" w:sz="1"/>
            </w:tcBorders>
            <w:shd w:fill="EEF3F8" w:val="clear"/>
            <w:tcMar>
              <w:top w:type="dxa" w:w="60"/>
              <w:left w:type="dxa" w:w="120"/>
              <w:bottom w:type="dxa" w:w="60"/>
              <w:right w:type="dxa" w:w="120"/>
            </w:tcMar>
          </w:tcPr>
          <w:p>
            <w:r>
              <w:rPr>
                <w:sz w:val="20"/>
                <w:szCs w:val="20"/>
              </w:rPr>
              <w:t xml:space="preserve">Withdrew regulatory query TRK-2025-0118 in exchange for payment</w:t>
            </w:r>
          </w:p>
        </w:tc>
      </w:tr>
    </w:tbl>
    <w:p>
      <w:pPr>
        <w:pStyle w:val="Heading3"/>
      </w:pPr>
      <w:r>
        <w:t xml:space="preserve">Front Companies and Offshore Destinations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2200"/>
        <w:gridCol w:w="3060"/>
        <w:gridCol w:w="1400"/>
      </w:tblGrid>
      <w:tr>
        <w:trPr>
          <w:tblHeader/>
        </w:trPr>
        <w:tc>
          <w:tcPr>
            <w:tcW w:type="dxa" w:w="2700"/>
            <w:tcBorders>
              <w:top w:val="single" w:color="CCCCCC" w:sz="1"/>
              <w:left w:val="single" w:color="CCCCCC" w:sz="1"/>
              <w:bottom w:val="single" w:color="CCCCCC" w:sz="1"/>
              <w:right w:val="single" w:color="CCCCCC" w:sz="1"/>
            </w:tcBorders>
            <w:shd w:fill="2E5C8A" w:val="clear"/>
            <w:tcMar>
              <w:top w:type="dxa" w:w="80"/>
              <w:left w:type="dxa" w:w="120"/>
              <w:bottom w:type="dxa" w:w="80"/>
              <w:right w:type="dxa" w:w="120"/>
            </w:tcMar>
          </w:tcPr>
          <w:p>
            <w:r>
              <w:rPr>
                <w:b/>
                <w:bCs/>
                <w:color w:val="FFFFFF"/>
                <w:sz w:val="20"/>
                <w:szCs w:val="20"/>
              </w:rPr>
              <w:t xml:space="preserve">Front Company (Layering)</w:t>
            </w:r>
          </w:p>
        </w:tc>
        <w:tc>
          <w:tcPr>
            <w:tcW w:type="dxa" w:w="2200"/>
            <w:tcBorders>
              <w:top w:val="single" w:color="CCCCCC" w:sz="1"/>
              <w:left w:val="single" w:color="CCCCCC" w:sz="1"/>
              <w:bottom w:val="single" w:color="CCCCCC" w:sz="1"/>
              <w:right w:val="single" w:color="CCCCCC" w:sz="1"/>
            </w:tcBorders>
            <w:shd w:fill="2E5C8A" w:val="clear"/>
            <w:tcMar>
              <w:top w:type="dxa" w:w="80"/>
              <w:left w:type="dxa" w:w="120"/>
              <w:bottom w:type="dxa" w:w="80"/>
              <w:right w:type="dxa" w:w="120"/>
            </w:tcMar>
          </w:tcPr>
          <w:p>
            <w:r>
              <w:rPr>
                <w:b/>
                <w:bCs/>
                <w:color w:val="FFFFFF"/>
                <w:sz w:val="20"/>
                <w:szCs w:val="20"/>
              </w:rPr>
              <w:t xml:space="preserve">Invoices (Q1 2025)</w:t>
            </w:r>
          </w:p>
        </w:tc>
        <w:tc>
          <w:tcPr>
            <w:tcW w:type="dxa" w:w="3060"/>
            <w:tcBorders>
              <w:top w:val="single" w:color="CCCCCC" w:sz="1"/>
              <w:left w:val="single" w:color="CCCCCC" w:sz="1"/>
              <w:bottom w:val="single" w:color="CCCCCC" w:sz="1"/>
              <w:right w:val="single" w:color="CCCCCC" w:sz="1"/>
            </w:tcBorders>
            <w:shd w:fill="2E5C8A" w:val="clear"/>
            <w:tcMar>
              <w:top w:type="dxa" w:w="80"/>
              <w:left w:type="dxa" w:w="120"/>
              <w:bottom w:type="dxa" w:w="80"/>
              <w:right w:type="dxa" w:w="120"/>
            </w:tcMar>
          </w:tcPr>
          <w:p>
            <w:r>
              <w:rPr>
                <w:b/>
                <w:bCs/>
                <w:color w:val="FFFFFF"/>
                <w:sz w:val="20"/>
                <w:szCs w:val="20"/>
              </w:rPr>
              <w:t xml:space="preserve">Linked Offshore Destination (Integration)</w:t>
            </w:r>
          </w:p>
        </w:tc>
        <w:tc>
          <w:tcPr>
            <w:tcW w:type="dxa" w:w="1400"/>
            <w:tcBorders>
              <w:top w:val="single" w:color="CCCCCC" w:sz="1"/>
              <w:left w:val="single" w:color="CCCCCC" w:sz="1"/>
              <w:bottom w:val="single" w:color="CCCCCC" w:sz="1"/>
              <w:right w:val="single" w:color="CCCCCC" w:sz="1"/>
            </w:tcBorders>
            <w:shd w:fill="2E5C8A" w:val="clear"/>
            <w:tcMar>
              <w:top w:type="dxa" w:w="80"/>
              <w:left w:type="dxa" w:w="120"/>
              <w:bottom w:type="dxa" w:w="80"/>
              <w:right w:type="dxa" w:w="120"/>
            </w:tcMar>
          </w:tcPr>
          <w:p>
            <w:r>
              <w:rPr>
                <w:b/>
                <w:bCs/>
                <w:color w:val="FFFFFF"/>
                <w:sz w:val="20"/>
                <w:szCs w:val="20"/>
              </w:rPr>
              <w:t xml:space="preserve">Amount</w:t>
            </w:r>
          </w:p>
        </w:tc>
      </w:tr>
      <w:tr>
        <w:tc>
          <w:tcPr>
            <w:tcW w:type="dxa" w:w="2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Delta Ventures Ltd (seizure site)</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6 invoices, GH¢312,000</w:t>
            </w:r>
          </w:p>
        </w:tc>
        <w:tc>
          <w:tcPr>
            <w:tcW w:type="dxa" w:w="30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Al Maktoum Investment Holdings LLC, Dubai, UAE</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USD 45,000</w:t>
            </w:r>
          </w:p>
        </w:tc>
      </w:tr>
      <w:tr>
        <w:tc>
          <w:tcPr>
            <w:tcW w:type="dxa" w:w="2700"/>
            <w:tcBorders>
              <w:top w:val="single" w:color="CCCCCC" w:sz="1"/>
              <w:left w:val="single" w:color="CCCCCC" w:sz="1"/>
              <w:bottom w:val="single" w:color="CCCCCC" w:sz="1"/>
              <w:right w:val="single" w:color="CCCCCC" w:sz="1"/>
            </w:tcBorders>
            <w:shd w:fill="EEF3F8" w:val="clear"/>
            <w:tcMar>
              <w:top w:type="dxa" w:w="60"/>
              <w:left w:type="dxa" w:w="120"/>
              <w:bottom w:type="dxa" w:w="60"/>
              <w:right w:type="dxa" w:w="120"/>
            </w:tcMar>
          </w:tcPr>
          <w:p>
            <w:r>
              <w:rPr>
                <w:sz w:val="20"/>
                <w:szCs w:val="20"/>
              </w:rPr>
              <w:t xml:space="preserve">Gyimah Construction &amp; Supplies</w:t>
            </w:r>
          </w:p>
        </w:tc>
        <w:tc>
          <w:tcPr>
            <w:tcW w:type="dxa" w:w="2200"/>
            <w:tcBorders>
              <w:top w:val="single" w:color="CCCCCC" w:sz="1"/>
              <w:left w:val="single" w:color="CCCCCC" w:sz="1"/>
              <w:bottom w:val="single" w:color="CCCCCC" w:sz="1"/>
              <w:right w:val="single" w:color="CCCCCC" w:sz="1"/>
            </w:tcBorders>
            <w:shd w:fill="EEF3F8" w:val="clear"/>
            <w:tcMar>
              <w:top w:type="dxa" w:w="60"/>
              <w:left w:type="dxa" w:w="120"/>
              <w:bottom w:type="dxa" w:w="60"/>
              <w:right w:type="dxa" w:w="120"/>
            </w:tcMar>
          </w:tcPr>
          <w:p>
            <w:r>
              <w:rPr>
                <w:sz w:val="20"/>
                <w:szCs w:val="20"/>
              </w:rPr>
              <w:t xml:space="preserve">5 invoices, GH¢218,000</w:t>
            </w:r>
          </w:p>
        </w:tc>
        <w:tc>
          <w:tcPr>
            <w:tcW w:type="dxa" w:w="3060"/>
            <w:tcBorders>
              <w:top w:val="single" w:color="CCCCCC" w:sz="1"/>
              <w:left w:val="single" w:color="CCCCCC" w:sz="1"/>
              <w:bottom w:val="single" w:color="CCCCCC" w:sz="1"/>
              <w:right w:val="single" w:color="CCCCCC" w:sz="1"/>
            </w:tcBorders>
            <w:shd w:fill="EEF3F8" w:val="clear"/>
            <w:tcMar>
              <w:top w:type="dxa" w:w="60"/>
              <w:left w:type="dxa" w:w="120"/>
              <w:bottom w:type="dxa" w:w="60"/>
              <w:right w:type="dxa" w:w="120"/>
            </w:tcMar>
          </w:tcPr>
          <w:p>
            <w:r>
              <w:rPr>
                <w:sz w:val="20"/>
                <w:szCs w:val="20"/>
              </w:rPr>
              <w:t xml:space="preserve">Limassol Trade &amp; Advisory Ltd, Cyprus</w:t>
            </w:r>
          </w:p>
        </w:tc>
        <w:tc>
          <w:tcPr>
            <w:tcW w:type="dxa" w:w="1400"/>
            <w:tcBorders>
              <w:top w:val="single" w:color="CCCCCC" w:sz="1"/>
              <w:left w:val="single" w:color="CCCCCC" w:sz="1"/>
              <w:bottom w:val="single" w:color="CCCCCC" w:sz="1"/>
              <w:right w:val="single" w:color="CCCCCC" w:sz="1"/>
            </w:tcBorders>
            <w:shd w:fill="EEF3F8" w:val="clear"/>
            <w:tcMar>
              <w:top w:type="dxa" w:w="60"/>
              <w:left w:type="dxa" w:w="120"/>
              <w:bottom w:type="dxa" w:w="60"/>
              <w:right w:type="dxa" w:w="120"/>
            </w:tcMar>
          </w:tcPr>
          <w:p>
            <w:r>
              <w:rPr>
                <w:sz w:val="20"/>
                <w:szCs w:val="20"/>
              </w:rPr>
              <w:t xml:space="preserve">USD 60,000</w:t>
            </w:r>
          </w:p>
        </w:tc>
      </w:tr>
      <w:tr>
        <w:tc>
          <w:tcPr>
            <w:tcW w:type="dxa" w:w="2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West Coast Logistics Ltd</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3 invoices, GH¢147,000</w:t>
            </w:r>
          </w:p>
        </w:tc>
        <w:tc>
          <w:tcPr>
            <w:tcW w:type="dxa" w:w="30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(unconfirmed — see Task 10, third transaction)</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(pending)</w:t>
            </w:r>
          </w:p>
        </w:tc>
      </w:tr>
    </w:tbl>
    <w:p>
      <w:pPr>
        <w:spacing w:after="120"/>
      </w:pPr>
      <w:r>
        <w:t xml:space="preserve">Note: the network diagram above is presented in tabular form for compatibility with this document format. It is recommended that a graphical version (e.g., flowchart) be produced as a supporting exhibit for presentation purposes, illustrating the flow of funds from cash placement (Philip/Kofi) through the named front companies to the offshore beneficiary accounts, with the command and corruption channels (Boss, FIC contact, “Kweku”) shown as parallel overlays.</w:t>
      </w:r>
    </w:p>
    <w:p>
      <w:r>
        <w:br w:type="page"/>
      </w:r>
    </w:p>
    <w:p>
      <w:pPr>
        <w:pStyle w:val="Heading1"/>
      </w:pPr>
      <w:r>
        <w:t xml:space="preserve">Priority Follow-Up Actions</w:t>
      </w:r>
    </w:p>
    <w:p>
      <w:pPr>
        <w:pStyle w:val="ListParagraph"/>
        <w:numPr>
          <w:ilvl w:val="0"/>
          <w:numId w:val="3"/>
        </w:numPr>
        <w:spacing w:after="60"/>
      </w:pPr>
      <w:r>
        <w:t xml:space="preserve">Cross-reference FIC query reference TRK-2025-0118 against the Financial Intelligence Centre's internal records; identify the Senior Compliance Officer concerned and the individual identified only as “Kweku.”</w:t>
      </w:r>
    </w:p>
    <w:p>
      <w:pPr>
        <w:pStyle w:val="ListParagraph"/>
        <w:numPr>
          <w:ilvl w:val="0"/>
          <w:numId w:val="3"/>
        </w:numPr>
        <w:spacing w:after="60"/>
      </w:pPr>
      <w:r>
        <w:t xml:space="preserve">Issue a data preservation request / subpoena to Wise (TransferWise) for the account registered to paul.addo.ventures@gmail.com, identified as a previously undocumented transfer channel.</w:t>
      </w:r>
    </w:p>
    <w:p>
      <w:pPr>
        <w:pStyle w:val="ListParagraph"/>
        <w:numPr>
          <w:ilvl w:val="0"/>
          <w:numId w:val="3"/>
        </w:numPr>
        <w:spacing w:after="60"/>
      </w:pPr>
      <w:r>
        <w:t xml:space="preserve">Verify the legitimacy and ownership of the domain ecowasbank-alerts.net as a banking notification source.</w:t>
      </w:r>
    </w:p>
    <w:p>
      <w:pPr>
        <w:pStyle w:val="ListParagraph"/>
        <w:numPr>
          <w:ilvl w:val="0"/>
          <w:numId w:val="3"/>
        </w:numPr>
        <w:spacing w:after="60"/>
      </w:pPr>
      <w:r>
        <w:t xml:space="preserve">Forward account/IBAN details (AE070331234567890123456, Dubai; CY17002001280000001200527600, Cyprus) to the UAE Financial Intelligence Unit and Cyprus MOKAS for asset tracing and potential freeze action, including the unresolved third (IN_PROGRESS) transaction to Limassol Trade &amp; Advisory Ltd.</w:t>
      </w:r>
    </w:p>
    <w:p>
      <w:pPr>
        <w:pStyle w:val="ListParagraph"/>
        <w:numPr>
          <w:ilvl w:val="0"/>
          <w:numId w:val="3"/>
        </w:numPr>
        <w:spacing w:after="60"/>
      </w:pPr>
      <w:r>
        <w:t xml:space="preserve">Obtain and analyse the recovered 2024 ledger, contacts list, and offshore routing files from the /OLD/ Dropbox folder to establish the scope of a potential broader charge period predating Q1 2025.</w:t>
      </w:r>
    </w:p>
    <w:p>
      <w:pPr>
        <w:pStyle w:val="ListParagraph"/>
        <w:numPr>
          <w:ilvl w:val="0"/>
          <w:numId w:val="3"/>
        </w:numPr>
        <w:spacing w:after="60"/>
      </w:pPr>
      <w:r>
        <w:t xml:space="preserve">Confirm hash verification of the original E01 image against acquisition-time values and append the acquisition log to this report (Task 1).</w:t>
      </w:r>
    </w:p>
    <w:p>
      <w:pPr>
        <w:pStyle w:val="ListParagraph"/>
        <w:numPr>
          <w:ilvl w:val="0"/>
          <w:numId w:val="3"/>
        </w:numPr>
        <w:spacing w:after="60"/>
      </w:pPr>
      <w:r>
        <w:t xml:space="preserve">Obtain the full Autopsy file count summary, including allocated/unallocated breakdown, for inclusion in Task 3.</w:t>
      </w:r>
    </w:p>
    <w:p>
      <w:pPr>
        <w:spacing w:before="400"/>
      </w:pPr>
    </w:p>
    <w:p>
      <w:pPr>
        <w:spacing w:after="120"/>
      </w:pPr>
      <w:r>
        <w:rPr>
          <w:b/>
          <w:bCs/>
        </w:rPr>
        <w:t xml:space="preserve">End of Report.</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8"/>
        <w:szCs w:val="18"/>
      </w:rPr>
      <w:t xml:space="preserve">Page </w:t>
    </w:r>
    <w:r>
      <w:rPr>
        <w:sz w:val="18"/>
        <w:szCs w:val="18"/>
      </w:rPr>
      <w:fldChar w:fldCharType="begin"/>
      <w:instrText xml:space="preserve">PAGE</w:instrText>
      <w:fldChar w:fldCharType="separate"/>
      <w:fldChar w:fldCharType="end"/>
    </w:r>
    <w:r>
      <w:rPr>
        <w:sz w:val="18"/>
        <w:szCs w:val="18"/>
      </w:rPr>
      <w:t xml:space="preserve"> of </w:t>
    </w:r>
    <w:r>
      <w:rPr>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rPr>
        <w:color w:val="888888"/>
        <w:sz w:val="16"/>
        <w:szCs w:val="16"/>
      </w:rPr>
      <w:t xml:space="preserve">HIVE CONSULT DFL — Case HC-GH-2025-FF-0047 — “Dirty Ledger” Investigation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1F3864" w:sz="6" w:space="4"/>
      </w:pBdr>
      <w:spacing w:after="200" w:before="320"/>
      <w:outlineLvl w:val="0"/>
    </w:pPr>
    <w:rPr>
      <w:rFonts w:ascii="Arial" w:cs="Arial" w:eastAsia="Arial" w:hAnsi="Arial"/>
      <w:b/>
      <w:bCs/>
      <w:color w:val="1F3864"/>
      <w:sz w:val="30"/>
      <w:szCs w:val="30"/>
    </w:rPr>
  </w:style>
  <w:style w:type="paragraph" w:styleId="Heading2">
    <w:name w:val="Heading 2"/>
    <w:basedOn w:val="Normal"/>
    <w:next w:val="Normal"/>
    <w:qFormat/>
    <w:pPr>
      <w:spacing w:after="160" w:before="240"/>
      <w:outlineLvl w:val="1"/>
    </w:pPr>
    <w:rPr>
      <w:rFonts w:ascii="Arial" w:cs="Arial" w:eastAsia="Arial" w:hAnsi="Arial"/>
      <w:b/>
      <w:bCs/>
      <w:color w:val="2E5C8A"/>
      <w:sz w:val="26"/>
      <w:szCs w:val="26"/>
    </w:rPr>
  </w:style>
  <w:style w:type="paragraph" w:styleId="Heading3">
    <w:name w:val="Heading 3"/>
    <w:basedOn w:val="Normal"/>
    <w:next w:val="Normal"/>
    <w:qFormat/>
    <w:pPr>
      <w:spacing w:after="120" w:before="160"/>
      <w:outlineLvl w:val="2"/>
    </w:pPr>
    <w:rPr>
      <w:rFonts w:ascii="Arial" w:cs="Arial" w:eastAsia="Arial" w:hAnsi="Arial"/>
      <w:b/>
      <w:bCs/>
      <w:color w:val="44546A"/>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2026-06-13T08:33:00.054Z</dcterms:created>
  <dcterms:modified xsi:type="dcterms:W3CDTF">2026-06-13T08:33:00.065Z</dcterms:modified>
</cp:coreProperties>
</file>

<file path=docProps/custom.xml><?xml version="1.0" encoding="utf-8"?>
<Properties xmlns="http://schemas.openxmlformats.org/officeDocument/2006/custom-properties" xmlns:vt="http://schemas.openxmlformats.org/officeDocument/2006/docPropsVTypes"/>
</file>