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48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DB project Design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רלציוני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פרוט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מאוחסנת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המחזירות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מוחקות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חיסכון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({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1"/>
        </w:rPr>
        <w:t xml:space="preserve">}),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שמפתח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חיסכון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מפאת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