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240" w:after="180"/>
        <w:shd w:val="clear" w:color="auto" w:fill="1F2937"/>
      </w:pPr>
      <w:r>
        <w:rPr>
          <w:b/>
          <w:color w:val="FFFFFF"/>
          <w:sz w:val="36"/>
          <w:szCs w:val="36"/>
        </w:rPr>
        <w:t xml:space="preserve">APTL Black Hat Arsenal Lab Handout</w:t>
      </w:r>
    </w:p>
    <w:p>
      <w:r>
        <w:t xml:space="preserve">APTL is open source software available at &lt;https://github.com/Brad-Edwards/aptl&gt;.</w:t>
      </w:r>
    </w:p>
    <w:p>
      <w:r>
        <w:t xml:space="preserve">APTL is part of the OpenRAE agentic environments ecosystem: &lt;https://github.com/OpenRAE&gt;. OpenRAE is also open source software.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Access</w:t>
      </w:r>
    </w:p>
    <w:p>
      <w:r>
        <w:t xml:space="preserve">Fill this block from the card at your seat.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2400" w:type="dxa"/>
          </w:tcPr>
          <w:p>
            <w:r>
              <w:t xml:space="preserve">Seat number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Workstation or RDP URL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Login username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Login password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Agent window or bookmark</w:t>
            </w:r>
          </w:p>
        </w:tc>
        <w:tc>
          <w:tcPr>
            <w:tcW w:w="2400" w:type="dxa"/>
          </w:tcPr>
          <w:p/>
        </w:tc>
      </w:tr>
      <w:tr>
        <w:tc>
          <w:tcPr>
            <w:tcW w:w="2400" w:type="dxa"/>
          </w:tcPr>
          <w:p>
            <w:r>
              <w:t xml:space="preserve">Need help?</w:t>
            </w:r>
          </w:p>
        </w:tc>
        <w:tc>
          <w:tcPr>
            <w:tcW w:w="2400" w:type="dxa"/>
          </w:tcPr>
          <w:p>
            <w:r>
              <w:t xml:space="preserve">Raise your hand or use the support signal at the seat</w:t>
            </w:r>
          </w:p>
        </w:tc>
      </w:tr>
    </w:tbl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SOC Bookmarks</w:t>
      </w:r>
    </w:p>
    <w:p>
      <w:r>
        <w:t xml:space="preserve">Open these from the workstation or browser RDP: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Tool</w:t>
            </w:r>
          </w:p>
        </w:tc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URL</w:t>
            </w:r>
          </w:p>
        </w:tc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Login</w:t>
            </w:r>
          </w:p>
        </w:tc>
      </w:tr>
      <w:tr>
        <w:tc>
          <w:tcPr>
            <w:tcW w:w="2400" w:type="dxa"/>
          </w:tcPr>
          <w:p>
            <w:r>
              <w:t xml:space="preserve">Wazuh Dashboard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https://localhost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admin</w:t>
            </w:r>
            <w:r>
              <w:t xml:space="preserve"> /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SecretPassword</w:t>
            </w:r>
          </w:p>
        </w:tc>
      </w:tr>
      <w:tr>
        <w:tc>
          <w:tcPr>
            <w:tcW w:w="2400" w:type="dxa"/>
          </w:tcPr>
          <w:p>
            <w:r>
              <w:t xml:space="preserve">TheHive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https://localhost:9000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aptl-svc@thehive.local</w:t>
            </w:r>
            <w:r>
              <w:t xml:space="preserve"> /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AptlService2024!</w:t>
            </w:r>
          </w:p>
        </w:tc>
      </w:tr>
      <w:tr>
        <w:tc>
          <w:tcPr>
            <w:tcW w:w="2400" w:type="dxa"/>
          </w:tcPr>
          <w:p>
            <w:r>
              <w:t xml:space="preserve">Cortex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http://localhost:9001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aptl-svc@cortex.local</w:t>
            </w:r>
            <w:r>
              <w:t xml:space="preserve"> /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AptlCortexService2026!</w:t>
            </w:r>
          </w:p>
        </w:tc>
      </w:tr>
      <w:tr>
        <w:tc>
          <w:tcPr>
            <w:tcW w:w="2400" w:type="dxa"/>
          </w:tcPr>
          <w:p>
            <w:r>
              <w:t xml:space="preserve">Shuffle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https://localhost:3443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admin</w:t>
            </w:r>
            <w:r>
              <w:t xml:space="preserve"> /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ShuffleAdmin2024!</w:t>
            </w:r>
          </w:p>
        </w:tc>
      </w:tr>
      <w:tr>
        <w:tc>
          <w:tcPr>
            <w:tcW w:w="2400" w:type="dxa"/>
          </w:tcPr>
          <w:p>
            <w:r>
              <w:t xml:space="preserve">MISP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https://localhost:8443</w:t>
            </w:r>
          </w:p>
        </w:tc>
        <w:tc>
          <w:tcPr>
            <w:tcW w:w="2400" w:type="dxa"/>
          </w:tcPr>
          <w:p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admin@admin.test</w:t>
            </w:r>
            <w:r>
              <w:t xml:space="preserve"> /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admin</w:t>
            </w:r>
          </w:p>
        </w:tc>
      </w:tr>
    </w:tbl>
    <w:p>
      <w:r>
        <w:t xml:space="preserve">Cortex also has the lab API key </w:t>
      </w:r>
      <w:r>
        <w:rPr>
          <w:rFonts w:ascii="Consolas" w:hAnsi="Consolas"/>
          <w:sz w:val="19"/>
          <w:szCs w:val="19"/>
          <w:color w:val="8A2A2A"/>
        </w:rPr>
        <w:t xml:space="preserve">aptlcortexlabapikey2026purple</w:t>
      </w:r>
      <w:r>
        <w:t xml:space="preserve"> if the agent checks the API directly. Shuffle also has API key </w:t>
      </w:r>
      <w:r>
        <w:rPr>
          <w:rFonts w:ascii="Consolas" w:hAnsi="Consolas"/>
          <w:sz w:val="19"/>
          <w:szCs w:val="19"/>
          <w:color w:val="8A2A2A"/>
        </w:rPr>
        <w:t xml:space="preserve">31a211c4-ea5c-4a49-b022-5e2434e758a7</w:t>
      </w:r>
      <w:r>
        <w:t xml:space="preserve">.</w:t>
      </w:r>
    </w:p>
    <w:p>
      <w:r>
        <w:t xml:space="preserve">Some SOC tools use lab TLS certificates. Accept the browser warning if prompted.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What You Are Using</w:t>
      </w:r>
    </w:p>
    <w:p>
      <w:r>
        <w:t xml:space="preserve">APTL, Advanced Purple Team Lab, is an isolated cyber range where an AI agent can operate attacker, defender, and enterprise tools.</w:t>
      </w:r>
    </w:p>
    <w:p>
      <w:r>
        <w:t xml:space="preserve">Today you are inside TechVault: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Side</w:t>
            </w:r>
          </w:p>
        </w:tc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What is there</w:t>
            </w:r>
          </w:p>
        </w:tc>
      </w:tr>
      <w:tr>
        <w:tc>
          <w:tcPr>
            <w:tcW w:w="2400" w:type="dxa"/>
          </w:tcPr>
          <w:p>
            <w:r>
              <w:t xml:space="preserve">Enterprise</w:t>
            </w:r>
          </w:p>
        </w:tc>
        <w:tc>
          <w:tcPr>
            <w:tcW w:w="2400" w:type="dxa"/>
          </w:tcPr>
          <w:p>
            <w:r>
              <w:t xml:space="preserve">TechVault web app, database, Active Directory, DNS, file share, victim host, and workstation</w:t>
            </w:r>
          </w:p>
        </w:tc>
      </w:tr>
      <w:tr>
        <w:tc>
          <w:tcPr>
            <w:tcW w:w="2400" w:type="dxa"/>
          </w:tcPr>
          <w:p>
            <w:r>
              <w:t xml:space="preserve">Attacker</w:t>
            </w:r>
          </w:p>
        </w:tc>
        <w:tc>
          <w:tcPr>
            <w:tcW w:w="2400" w:type="dxa"/>
          </w:tcPr>
          <w:p>
            <w:r>
              <w:t xml:space="preserve">Kali, driven by your agent</w:t>
            </w:r>
          </w:p>
        </w:tc>
      </w:tr>
      <w:tr>
        <w:tc>
          <w:tcPr>
            <w:tcW w:w="2400" w:type="dxa"/>
          </w:tcPr>
          <w:p>
            <w:r>
              <w:t xml:space="preserve">Defender</w:t>
            </w:r>
          </w:p>
        </w:tc>
        <w:tc>
          <w:tcPr>
            <w:tcW w:w="2400" w:type="dxa"/>
          </w:tcPr>
          <w:p>
            <w:r>
              <w:t xml:space="preserve">Wazuh, Suricata, MISP, TheHive, Cortex, and Shuffle</w:t>
            </w:r>
          </w:p>
        </w:tc>
      </w:tr>
    </w:tbl>
    <w:p>
      <w:r>
        <w:t xml:space="preserve">Your mission is one purple-team incident flow:</w:t>
      </w:r>
    </w:p>
    <w:p>
      <w:pPr>
        <w:ind w:left="360" w:hanging="240"/>
      </w:pPr>
      <w:r>
        <w:t xml:space="preserve">1. Attack TechVault.</w:t>
      </w:r>
    </w:p>
    <w:p>
      <w:pPr>
        <w:ind w:left="360" w:hanging="240"/>
      </w:pPr>
      <w:r>
        <w:t xml:space="preserve">2. Investigate and enrich the alert across the SOC.</w:t>
      </w:r>
    </w:p>
    <w:p>
      <w:pPr>
        <w:ind w:left="360" w:hanging="240"/>
      </w:pPr>
      <w:r>
        <w:t xml:space="preserve">3. Fix the vulnerable app behavior.</w:t>
      </w:r>
    </w:p>
    <w:p>
      <w:pPr>
        <w:ind w:left="360" w:hanging="240"/>
      </w:pPr>
      <w:r>
        <w:t xml:space="preserve">4. Test the same attack again and update the incident result.</w:t>
      </w:r>
    </w:p>
    <w:p>
      <w:r>
        <w:t xml:space="preserve">Only target </w:t>
      </w:r>
      <w:r>
        <w:rPr>
          <w:rFonts w:ascii="Consolas" w:hAnsi="Consolas"/>
          <w:sz w:val="19"/>
          <w:szCs w:val="19"/>
          <w:color w:val="8A2A2A"/>
        </w:rPr>
        <w:t xml:space="preserve">http://172.20.1.20:8080</w:t>
      </w:r>
      <w:r>
        <w:t xml:space="preserve">. Do not point prompts or commands outside this lab.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1. Attack</w:t>
      </w:r>
    </w:p>
    <w:p>
      <w:r>
        <w:t xml:space="preserve">Ask the agent: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This is an authorized isolated APTL lab. From Kali only, test the TechVault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customer API at http://172.20.1.20:8080/api/v1/customers with one UNION SELECT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SQL injection. Use api_key=bh-lab and a unique marker like PwnCorp-&lt;time&gt;.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Show the curl command, HTTP status, and whether the marker appears in the JSON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response. Do not target anything outside this lab URL.</w:t>
      </w:r>
    </w:p>
    <w:p>
      <w:r>
        <w:t xml:space="preserve">Expected:</w:t>
      </w:r>
    </w:p>
    <w:p>
      <w:pPr>
        <w:ind w:left="360" w:hanging="240"/>
      </w:pPr>
      <w:r>
        <w:t xml:space="preserve">- HTTP status is </w:t>
      </w:r>
      <w:r>
        <w:rPr>
          <w:rFonts w:ascii="Consolas" w:hAnsi="Consolas"/>
          <w:sz w:val="19"/>
          <w:szCs w:val="19"/>
          <w:color w:val="8A2A2A"/>
        </w:rPr>
        <w:t xml:space="preserve">200</w:t>
      </w:r>
      <w:r>
        <w:t xml:space="preserve">.</w:t>
      </w:r>
    </w:p>
    <w:p>
      <w:pPr>
        <w:ind w:left="360" w:hanging="240"/>
      </w:pPr>
      <w:r>
        <w:t xml:space="preserve">- The JSON response contains your </w:t>
      </w:r>
      <w:r>
        <w:rPr>
          <w:rFonts w:ascii="Consolas" w:hAnsi="Consolas"/>
          <w:sz w:val="19"/>
          <w:szCs w:val="19"/>
          <w:color w:val="8A2A2A"/>
        </w:rPr>
        <w:t xml:space="preserve">PwnCorp-*</w:t>
      </w:r>
      <w:r>
        <w:t xml:space="preserve"> marker as a fake customer row.</w:t>
      </w:r>
    </w:p>
    <w:p>
      <w:r>
        <w:t xml:space="preserve">That proves the attack worked.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2. Work the SOC</w:t>
      </w:r>
    </w:p>
    <w:p>
      <w:r>
        <w:t xml:space="preserve">Ask the agent: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Use my PwnCorp marker to work this as one SOC incident. Do all of this and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return a short incident summary: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/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1. Wazuh: find the alert for the marker and report rule ID, description,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source IP, target/log location, URL, and HTTP status.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2. Suricata: find the matching network IDS alert for the same source, target,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and URL.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3. MISP: look up the source IP and report the seeded threat-intel context.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4. Shuffle: find the APTL Alert to Case workflow execution for this marker and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report whether it finished.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5. TheHive: find the automatically created case and add a brief analyst note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with exploitability, source IP, URL, and detection summary.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6. Cortex: check TheHive's Cortex connector status and analyzer availability.</w:t>
      </w:r>
    </w:p>
    <w:p>
      <w:r>
        <w:t xml:space="preserve">Expected core evidence:</w:t>
      </w:r>
    </w:p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Tool</w:t>
            </w:r>
          </w:p>
        </w:tc>
        <w:tc>
          <w:tcPr>
            <w:tcW w:w="2400" w:type="dxa"/>
            <w:shd w:val="clear" w:color="auto" w:fill="E5E7EB"/>
          </w:tcPr>
          <w:p>
            <w:r>
              <w:rPr>
                <w:b/>
              </w:rPr>
              <w:t xml:space="preserve">What you should get</w:t>
            </w:r>
          </w:p>
        </w:tc>
      </w:tr>
      <w:tr>
        <w:tc>
          <w:tcPr>
            <w:tcW w:w="2400" w:type="dxa"/>
          </w:tcPr>
          <w:p>
            <w:r>
              <w:t xml:space="preserve">Wazuh</w:t>
            </w:r>
          </w:p>
        </w:tc>
        <w:tc>
          <w:tcPr>
            <w:tcW w:w="2400" w:type="dxa"/>
          </w:tcPr>
          <w:p>
            <w:r>
              <w:t xml:space="preserve">Rule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302010</w:t>
            </w:r>
            <w:r>
              <w:t xml:space="preserve">,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SQL injection attempt detected in URL</w:t>
            </w:r>
            <w:r>
              <w:t xml:space="preserve">, source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172.20.1.30</w:t>
            </w:r>
          </w:p>
        </w:tc>
      </w:tr>
      <w:tr>
        <w:tc>
          <w:tcPr>
            <w:tcW w:w="2400" w:type="dxa"/>
          </w:tcPr>
          <w:p>
            <w:r>
              <w:t xml:space="preserve">Suricata</w:t>
            </w:r>
          </w:p>
        </w:tc>
        <w:tc>
          <w:tcPr>
            <w:tcW w:w="2400" w:type="dxa"/>
          </w:tcPr>
          <w:p>
            <w:r>
              <w:t xml:space="preserve">Signature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1000010</w:t>
            </w:r>
            <w:r>
              <w:t xml:space="preserve">,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APTL SQL Injection Attempt - UNION SELECT</w:t>
            </w:r>
          </w:p>
        </w:tc>
      </w:tr>
      <w:tr>
        <w:tc>
          <w:tcPr>
            <w:tcW w:w="2400" w:type="dxa"/>
          </w:tcPr>
          <w:p>
            <w:r>
              <w:t xml:space="preserve">MISP</w:t>
            </w:r>
          </w:p>
        </w:tc>
        <w:tc>
          <w:tcPr>
            <w:tcW w:w="2400" w:type="dxa"/>
          </w:tcPr>
          <w:p>
            <w:r>
              <w:t xml:space="preserve">Seeded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ip-src</w:t>
            </w:r>
            <w:r>
              <w:t xml:space="preserve"> context for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172.20.1.30</w:t>
            </w:r>
          </w:p>
        </w:tc>
      </w:tr>
      <w:tr>
        <w:tc>
          <w:tcPr>
            <w:tcW w:w="2400" w:type="dxa"/>
          </w:tcPr>
          <w:p>
            <w:r>
              <w:t xml:space="preserve">Shuffle</w:t>
            </w:r>
          </w:p>
        </w:tc>
        <w:tc>
          <w:tcPr>
            <w:tcW w:w="2400" w:type="dxa"/>
          </w:tcPr>
          <w:p>
            <w:r>
              <w:t xml:space="preserve">A finished APTL Alert to Case workflow execution</w:t>
            </w:r>
          </w:p>
        </w:tc>
      </w:tr>
      <w:tr>
        <w:tc>
          <w:tcPr>
            <w:tcW w:w="2400" w:type="dxa"/>
          </w:tcPr>
          <w:p>
            <w:r>
              <w:t xml:space="preserve">TheHive</w:t>
            </w:r>
          </w:p>
        </w:tc>
        <w:tc>
          <w:tcPr>
            <w:tcW w:w="2400" w:type="dxa"/>
          </w:tcPr>
          <w:p>
            <w:r>
              <w:t xml:space="preserve">An automatically created case titled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[Wazuh 302010] SQL injection attempt detected in URL</w:t>
            </w:r>
          </w:p>
        </w:tc>
      </w:tr>
      <w:tr>
        <w:tc>
          <w:tcPr>
            <w:tcW w:w="2400" w:type="dxa"/>
          </w:tcPr>
          <w:p>
            <w:r>
              <w:t xml:space="preserve">Cortex</w:t>
            </w:r>
          </w:p>
        </w:tc>
        <w:tc>
          <w:tcPr>
            <w:tcW w:w="2400" w:type="dxa"/>
          </w:tcPr>
          <w:p>
            <w:r>
              <w:t xml:space="preserve">TheHive connector </w:t>
            </w:r>
            <w:r>
              <w:rPr>
                <w:rFonts w:ascii="Consolas" w:hAnsi="Consolas"/>
                <w:sz w:val="19"/>
                <w:szCs w:val="19"/>
                <w:color w:val="8A2A2A"/>
              </w:rPr>
              <w:t xml:space="preserve">OK</w:t>
            </w:r>
            <w:r>
              <w:t xml:space="preserve">; analyzer catalog may be empty</w:t>
            </w:r>
          </w:p>
        </w:tc>
      </w:tr>
    </w:tbl>
    <w:p>
      <w:r>
        <w:t xml:space="preserve">Wazuh starts the alert. The SOC exercise is working the incident through the rest of the defensive stack.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3. Fix</w:t>
      </w:r>
    </w:p>
    <w:p>
      <w:r>
        <w:t xml:space="preserve">Ask the agent: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Patch only the TechVault /api/v1/customers search query so it uses a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parameterized SQL query instead of building SQL with the search string. Back up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/app/app.py first, run a Python syntax check, restart the aptl-webapp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container, and show the changed lines.</w:t>
      </w:r>
    </w:p>
    <w:p>
      <w:r>
        <w:t xml:space="preserve">The important fix is that the query uses a parameter instead of inserting user input into the SQL string: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cur.execute(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"SELECT id, company_name, contact_name, contact_email, plan_tier FROM customers WHERE company_name LIKE %s",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    (f"%{search}%",),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)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4. Test</w:t>
      </w:r>
    </w:p>
    <w:p>
      <w:r>
        <w:t xml:space="preserve">Ask the agent: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Repeat the same UNION SELECT test against the TechVault customer API with a new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PwnCorp marker. Confirm whether the marker appears in the response, then check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Wazuh, Suricata, Shuffle, and TheHive for the new attempted attack. Summarize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the result as an update to the same incident: exploitability, detection, and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service health.</w:t>
      </w:r>
    </w:p>
    <w:p>
      <w:r>
        <w:t xml:space="preserve">Expected after the fix:</w:t>
      </w:r>
    </w:p>
    <w:p>
      <w:pPr>
        <w:ind w:left="360" w:hanging="240"/>
      </w:pPr>
      <w:r>
        <w:t xml:space="preserve">- HTTP status is still </w:t>
      </w:r>
      <w:r>
        <w:rPr>
          <w:rFonts w:ascii="Consolas" w:hAnsi="Consolas"/>
          <w:sz w:val="19"/>
          <w:szCs w:val="19"/>
          <w:color w:val="8A2A2A"/>
        </w:rPr>
        <w:t xml:space="preserve">200</w:t>
      </w:r>
      <w:r>
        <w:t xml:space="preserve">.</w:t>
      </w:r>
    </w:p>
    <w:p>
      <w:pPr>
        <w:ind w:left="360" w:hanging="240"/>
      </w:pPr>
      <w:r>
        <w:t xml:space="preserve">- The response is </w:t>
      </w:r>
      <w:r>
        <w:rPr>
          <w:rFonts w:ascii="Consolas" w:hAnsi="Consolas"/>
          <w:sz w:val="19"/>
          <w:szCs w:val="19"/>
          <w:color w:val="8A2A2A"/>
        </w:rPr>
        <w:t xml:space="preserve">[]</w:t>
      </w:r>
      <w:r>
        <w:t xml:space="preserve"> or otherwise does not contain your new marker.</w:t>
      </w:r>
    </w:p>
    <w:p>
      <w:pPr>
        <w:ind w:left="360" w:hanging="240"/>
      </w:pPr>
      <w:r>
        <w:t xml:space="preserve">- Wazuh and Suricata still detect the attempted SQLi.</w:t>
      </w:r>
    </w:p>
    <w:p>
      <w:pPr>
        <w:ind w:left="360" w:hanging="240"/>
      </w:pPr>
      <w:r>
        <w:t xml:space="preserve">- Shuffle still creates or updates TheHive incident evidence.</w:t>
      </w:r>
    </w:p>
    <w:p>
      <w:r>
        <w:t xml:space="preserve">That is the purple-team win: the exploit no longer works, and the SOC still sees the attempt.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If Something Is Slow</w:t>
      </w:r>
    </w:p>
    <w:p>
      <w:pPr>
        <w:ind w:left="360" w:hanging="240"/>
      </w:pPr>
      <w:r>
        <w:t xml:space="preserve">- Wazuh indexing can lag by 30 to 60 seconds. Wait, then ask again.</w:t>
      </w:r>
    </w:p>
    <w:p>
      <w:pPr>
        <w:ind w:left="360" w:hanging="240"/>
      </w:pPr>
      <w:r>
        <w:t xml:space="preserve">- If the agent refuses, include "authorized isolated APTL lab" and "only target </w:t>
      </w:r>
      <w:r>
        <w:rPr>
          <w:rFonts w:ascii="Consolas" w:hAnsi="Consolas"/>
          <w:sz w:val="19"/>
          <w:szCs w:val="19"/>
          <w:color w:val="8A2A2A"/>
        </w:rPr>
        <w:t xml:space="preserve">http://172.20.1.20:8080</w:t>
      </w:r>
      <w:r>
        <w:t xml:space="preserve">" in the prompt.</w:t>
      </w:r>
    </w:p>
    <w:p>
      <w:pPr>
        <w:ind w:left="360" w:hanging="240"/>
      </w:pPr>
      <w:r>
        <w:t xml:space="preserve">- If the attack no longer works, the previous participant may have fixed the app and the seat needs reset. Raise your hand.</w:t>
      </w:r>
    </w:p>
    <w:p>
      <w:pPr>
        <w:ind w:left="360" w:hanging="240"/>
      </w:pPr>
      <w:r>
        <w:t xml:space="preserve">- If a SOC component reports a gap, keep going and record it in the incident summary.</w:t>
      </w:r>
    </w:p>
    <w:p>
      <w:pPr>
        <w:ind w:left="360" w:hanging="240"/>
      </w:pPr>
      <w:r>
        <w:t xml:space="preserve">- If the seat breaks, do not debug it. Raise your hand.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If You Stay Longer</w:t>
      </w:r>
    </w:p>
    <w:p>
      <w:r>
        <w:t xml:space="preserve">Continue the same incident: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Improve the same incident record with a containment decision, false-positive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analysis, and a short executive summary for the TechVault owner.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Map the attack and response to MITRE ATT&amp;CK and list which TechVault enterprise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systems would matter if this became a real compromise.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Turn the incident into a Shuffle design: Wazuh alert, MISP lookup, Cortex</w:t>
      </w:r>
    </w:p>
    <w:p>
      <w:pPr>
        <w:pStyle w:val="CodeBlock"/>
      </w:pPr>
      <w:r>
        <w:rPr>
          <w:rFonts w:ascii="Consolas" w:hAnsi="Consolas"/>
          <w:sz w:val="19"/>
          <w:szCs w:val="19"/>
          <w:color w:val="8A2A2A"/>
        </w:rPr>
        <w:t xml:space="preserve">enrichment, TheHive case update, analyst approval, and containment.</w:t>
      </w:r>
    </w:p>
    <w:p>
      <w:pPr>
        <w:pStyle w:val="Heading2"/>
        <w:spacing w:before="300" w:after="140"/>
        <w:pBdr>
          <w:bottom w:val="single" w:sz="8" w:space="3" w:color="2563EB"/>
        </w:pBdr>
      </w:pPr>
      <w:r>
        <w:rPr>
          <w:b/>
          <w:color w:val="1E3A8A"/>
          <w:sz w:val="28"/>
          <w:szCs w:val="28"/>
        </w:rPr>
        <w:t xml:space="preserve">Before You Leave</w:t>
      </w:r>
    </w:p>
    <w:p>
      <w:r>
        <w:t xml:space="preserve">Thank you for trying Advanced Purple Team Labs. Please let me, Brad, know what you think.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80"/>
      <w:outlineLvl w:val="0"/>
      <w:shd w:val="clear" w:color="auto" w:fill="1F2937"/>
    </w:pPr>
    <w:rPr>
      <w:b/>
      <w:color w:val="FFFFFF"/>
      <w:sz w:val="36"/>
      <w:szCs w:val="36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300" w:after="140"/>
      <w:outlineLvl w:val="1"/>
      <w:pBdr>
        <w:bottom w:val="single" w:sz="8" w:space="3" w:color="2563EB"/>
      </w:pBdr>
    </w:pPr>
    <w:rPr>
      <w:b/>
      <w:color w:val="1E3A8A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220" w:after="100"/>
      <w:outlineLvl w:val="2"/>
    </w:pPr>
    <w:rPr>
      <w:b/>
      <w:color w:val="374151"/>
      <w:sz w:val="24"/>
      <w:szCs w:val="24"/>
    </w:rPr>
  </w:style>
  <w:style w:type="paragraph" w:styleId="CodeBlock">
    <w:name w:val="Code Block"/>
    <w:basedOn w:val="Normal"/>
    <w:pPr>
      <w:spacing w:before="0" w:after="0"/>
      <w:shd w:val="clear" w:color="auto" w:fill="F3F4F6"/>
    </w:pPr>
    <w:rPr>
      <w:rFonts w:ascii="Consolas" w:hAnsi="Consolas"/>
      <w:sz w:val="18"/>
      <w:szCs w:val="18"/>
    </w:rPr>
  </w:style>
  <w:style w:type="table" w:styleId="TableGrid">
    <w:name w:val="Table Grid"/>
    <w:basedOn w:val="TableNormal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/>
</file>