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CÂMARA LIBERTÁRIA DE ACORDOS E ARBITRAGENS LTDA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com 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CNPJ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36.515.258/0001-78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disponibiliza neste documento o histórico das versões e as alterações feitas a cada nova versão do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CÓDIGO LIBERTÁRIO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desde seu lançamento em 02/03/2020 (versão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MARÇO20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até a versão presente, podendo constar informações sobre outros documentos.</w:t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Este documento é meramente uma conveniência para que os clientes estejam a par das mudanças, não tenho nenhum valor legal, futuramente estas informações estarão disponibilizadas em nosso site. Para mais informações contate-nos pelo endereço eletrônico: </w:t>
      </w:r>
      <w:hyperlink r:id="rId6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claa.contato@gmail.com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HISTÓRICO</w:t>
      </w:r>
    </w:p>
    <w:p w:rsidR="00000000" w:rsidDel="00000000" w:rsidP="00000000" w:rsidRDefault="00000000" w:rsidRPr="00000000" w14:paraId="00000004">
      <w:pPr>
        <w:spacing w:after="120" w:line="240" w:lineRule="auto"/>
        <w:ind w:firstLine="72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02/04/2020 - Código: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Versão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ABRIL20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-  Ajustada a formatação do texto.</w:t>
        <w:br w:type="textWrapping"/>
        <w:t xml:space="preserve">-  Adicionada sessão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DISPOSIÇÕES LEGAIS NOS CONTRATOS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- Alterada em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DAS OBRIGAÇÕES FINANCEIRA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 a forma de cobrança de honorários e registros de taxa fixa para faixas de acordo com os valores da causa/contrato.</w:t>
        <w:br w:type="textWrapping"/>
        <w:t xml:space="preserve">-  Expandida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BIBLIOGRAFIA</w:t>
      </w:r>
    </w:p>
    <w:p w:rsidR="00000000" w:rsidDel="00000000" w:rsidP="00000000" w:rsidRDefault="00000000" w:rsidRPr="00000000" w14:paraId="00000005">
      <w:pPr>
        <w:spacing w:after="120" w:line="240" w:lineRule="auto"/>
        <w:ind w:firstLine="72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02/04/2020 - Código: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Versão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ABRIL2-20</w:t>
      </w:r>
    </w:p>
    <w:p w:rsidR="00000000" w:rsidDel="00000000" w:rsidP="00000000" w:rsidRDefault="00000000" w:rsidRPr="00000000" w14:paraId="00000006">
      <w:pPr>
        <w:spacing w:after="0" w:line="2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Alterado capítulo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DAS PROVIDÊNCIAS PRELIMINARES DA ARBITRAGEM, seção ÁRBITROS, §2 e §3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0" w:line="2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03/04/2020 -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Tabela de Taxas de Honorário e Registro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Diminuído as alíquotas dos honorários e dos registros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Adicionada a coluna do valor agregado para facilitar o cálculo das faixas.</w:t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laa.contato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