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going to create a case for LetsDefend alert “SOC167 - LS Command Detected in Requested URL”.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First, it is important to summarize the information from the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did it happen?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attack occurred at 12:36 AM on February 27, 2022.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source IP?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172.16.17.46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was the Destination IP?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188.114.96.15.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caused the alert?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URL contained an LS command commonly used for listing files.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To begin the investigation, I checked the IPs to see which matched with EliotPRD. Using the Endpoint Security I found that the source IP belongs to EliotPRD.  Checking the Network actions I find that Eliot has connected to the Destination IP at the exact time stated in the alert.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33975" cy="1962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was no suspicious activity discovered within the Processes, Terminal, or Browser History. Within the browser history, we also see what websites were visited during the alert, including a matching Requested URL.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the history the user seems to have just been researching the website letsdefend. Within the log management tool, the raw data shows evidence of this. There are different requests/traffic as the user explores letsdefend pages.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362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conclusion this alert was a false positive. The user was browsing LetsDefend.The alert may have been triggered by the ls in skil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