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going to be creating a case for LetsDefend’s “SOC168 - Whoami Command Detected in Request Body” alert.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it is a good practice to summarize information received from the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did the event occur?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event occurred at 4:12 AM on February 28, 2022.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source ip?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61.172.172.87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Checking the IP in virus total showed no malicious results, and that it was an IP from a Data Communication Division in China.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Who was the target?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WebServer1004 IP 172.16.17.16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 did the alert occur?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request body contains a whoami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First, going to the Endpoint Security of WebServer1004 I can find the recorded logs during the event. Looking into this terminal is concerning. We can see multiple terminal commands that could be used in copying or editing a password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To see more information, I am going to look into Log Management to find the Raw Data of each log. Unfortunately, these raw data logs seem like they are pointing towards a successful attack. Each log has a successful 200 response status and a large response size. Next I look through the email log to see if this was a planned or practice attack, but find no emails employing this was planned.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Analysis Notes:</w:t>
        <w:br w:type="textWrapping"/>
        <w:t xml:space="preserve">After investigation it is safe to conclude that this alert is a true positive, and should be escalated for further investigation. It is possible that the password file or shadow file were compromised. I have contained the affected WebServer1004 for further investigation.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