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activity, I will investigate the ‘SOC120 - Phishing Mail Detected - Internal to Internal’ alert from letsdefend.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creating the playbook for this alert first I gather general information about the alert.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was it sent?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email was sent at  04:24 AM on February 07, 2021.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the email's SMTP address?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emailer's SMTP address is 172.16.20.3.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the sender address?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sender’s address is john@letsdefend.io.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the recipient address?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recipient’s address 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susie@letsdefend.io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the device action is ‘allowed’, we know that the mail reached the user.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Searching the email security, I found the contents of the sent email.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2343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Is the mail content suspicious?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email isn’t suspicious as it is sent from two users @letsdefend. Also it can’t be a phishing attack as it contains no links or attachments.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Analysis note: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is not a phishing email.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mailto:susie@letsdefend.io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