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D9C" w:rsidRDefault="00113D6C" w:rsidP="00113D6C">
      <w:pPr>
        <w:pStyle w:val="Title"/>
      </w:pPr>
      <w:r>
        <w:t>Hashing and bloom filter</w:t>
      </w:r>
    </w:p>
    <w:p w:rsidR="00BC1DC3" w:rsidRDefault="00CD5F89" w:rsidP="00CD5F89">
      <w:pPr>
        <w:pStyle w:val="Heading1"/>
      </w:pPr>
      <w:r>
        <w:t>Experiment with different load factors</w:t>
      </w:r>
    </w:p>
    <w:p w:rsidR="00CD5F89" w:rsidRDefault="004B76C9" w:rsidP="00CD5F89">
      <w:r>
        <w:t xml:space="preserve">The variations of hashing algorithms implemented were done using 1,000,000 random integers ranging from 0 to 10,000,000. Multiple hashing algorithms and variations of them were tested using a 1.0 load factor </w:t>
      </w:r>
      <w:r w:rsidR="009A7336">
        <w:t>for benchm</w:t>
      </w:r>
      <w:r w:rsidR="008C0202">
        <w:t>arking.</w:t>
      </w:r>
    </w:p>
    <w:p w:rsidR="008C0202" w:rsidRDefault="008C0202" w:rsidP="00CD5F89">
      <w:r>
        <w:t>Multiple hashing algorithms were tested with multiple variations of numbers within the hashing algorithms. All performed about the same with around 36% of the hash table empty and the longest linked list ranging from 5 to 8 elements. A little bit of memory is wasted but lookups and insertions are basically constant time with O(1) time complexity.</w:t>
      </w:r>
      <w:r w:rsidR="00950751">
        <w:t xml:space="preserve"> </w:t>
      </w:r>
    </w:p>
    <w:p w:rsidR="00950751" w:rsidRDefault="001E7E76" w:rsidP="001E7E76">
      <w:pPr>
        <w:pStyle w:val="IntenseQuote"/>
        <w:rPr>
          <w:rStyle w:val="Emphasis"/>
        </w:rPr>
      </w:pPr>
      <w:r w:rsidRPr="001E7E76">
        <w:rPr>
          <w:rStyle w:val="Strong"/>
        </w:rPr>
        <w:t>Important note</w:t>
      </w:r>
      <w:r>
        <w:t xml:space="preserve">:  </w:t>
      </w:r>
      <w:r>
        <w:rPr>
          <w:rStyle w:val="Emphasis"/>
        </w:rPr>
        <w:t xml:space="preserve">When selecting a load factor or recommended hash table size, it is not guaranteed that you will get </w:t>
      </w:r>
      <w:r>
        <w:rPr>
          <w:rStyle w:val="Emphasis"/>
          <w:i/>
        </w:rPr>
        <w:t>exactly</w:t>
      </w:r>
      <w:r>
        <w:rPr>
          <w:rStyle w:val="Emphasis"/>
        </w:rPr>
        <w:t xml:space="preserve"> this size. For performance benefits the requested table size or load factor will be rounded up to the nearest prime number larger than the requested number</w:t>
      </w:r>
      <w:r w:rsidR="00576ED5">
        <w:rPr>
          <w:rStyle w:val="Emphasis"/>
        </w:rPr>
        <w:t xml:space="preserve"> (unless the requested number is a prime number itself)</w:t>
      </w:r>
      <w:r>
        <w:rPr>
          <w:rStyle w:val="Emphasis"/>
        </w:rPr>
        <w:t xml:space="preserve">. </w:t>
      </w:r>
    </w:p>
    <w:p w:rsidR="00172702" w:rsidRDefault="00172702" w:rsidP="00172702">
      <w:r>
        <w:t xml:space="preserve">The experiments were also run with varying sizes of </w:t>
      </w:r>
      <w:r>
        <w:rPr>
          <w:i/>
        </w:rPr>
        <w:t>n</w:t>
      </w:r>
      <w:r>
        <w:t xml:space="preserve">, or input numbers. Ranging from 1,000 – 1,000,000. The hash table percent empty results were proportionally the same each time remaining at almost exactly 36%. The longest list however remained almost constant at 7 – 8 elements. </w:t>
      </w:r>
    </w:p>
    <w:p w:rsidR="006E6B87" w:rsidRDefault="006E6B87" w:rsidP="00172702">
      <w:r>
        <w:t xml:space="preserve">After settling down on one particular hash function I began testing different load factors, while varying the size of n. </w:t>
      </w:r>
    </w:p>
    <w:p w:rsidR="000F5E1C" w:rsidRDefault="009B7F38" w:rsidP="009B7F38">
      <w:pPr>
        <w:pStyle w:val="IntenseQuote"/>
        <w:rPr>
          <w:rStyle w:val="Strong"/>
        </w:rPr>
      </w:pPr>
      <w:r>
        <w:rPr>
          <w:rStyle w:val="Strong"/>
        </w:rPr>
        <w:t>Information on running my program</w:t>
      </w:r>
    </w:p>
    <w:p w:rsidR="009B7F38" w:rsidRPr="000D2A78" w:rsidRDefault="009B7F38" w:rsidP="009B7F3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D2A78">
        <w:rPr>
          <w:sz w:val="20"/>
          <w:szCs w:val="20"/>
        </w:rPr>
        <w:t>My program accepts command line arguments for specifying the size of the hash table as well as how many numbers to process from a given file.</w:t>
      </w:r>
    </w:p>
    <w:p w:rsidR="009B7F38" w:rsidRPr="000D2A78" w:rsidRDefault="009B7F38" w:rsidP="009B7F3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D2A78">
        <w:rPr>
          <w:sz w:val="20"/>
          <w:szCs w:val="20"/>
        </w:rPr>
        <w:t>There are two ways to specify the size of the hash table.</w:t>
      </w:r>
    </w:p>
    <w:p w:rsidR="009B7F38" w:rsidRPr="000D2A78" w:rsidRDefault="009B7F38" w:rsidP="009B7F38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0D2A78">
        <w:rPr>
          <w:sz w:val="20"/>
          <w:szCs w:val="20"/>
        </w:rPr>
        <w:t>Specify the size of the hash table as a number</w:t>
      </w:r>
    </w:p>
    <w:p w:rsidR="009B7F38" w:rsidRPr="000D2A78" w:rsidRDefault="009B7F38" w:rsidP="003415A3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0D2A78">
        <w:rPr>
          <w:sz w:val="20"/>
          <w:szCs w:val="20"/>
        </w:rPr>
        <w:t>Use the ‘-s’ flag for using a specific size</w:t>
      </w:r>
    </w:p>
    <w:p w:rsidR="009B7F38" w:rsidRPr="000D2A78" w:rsidRDefault="009B7F38" w:rsidP="009B7F38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0D2A78">
        <w:rPr>
          <w:sz w:val="20"/>
          <w:szCs w:val="20"/>
        </w:rPr>
        <w:t>Specify the size of the hash table as a load factor</w:t>
      </w:r>
    </w:p>
    <w:p w:rsidR="003415A3" w:rsidRPr="000D2A78" w:rsidRDefault="003415A3" w:rsidP="003415A3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0D2A78">
        <w:rPr>
          <w:sz w:val="20"/>
          <w:szCs w:val="20"/>
        </w:rPr>
        <w:t>Use the ‘-l’ flag for specifying a load factor</w:t>
      </w:r>
    </w:p>
    <w:p w:rsidR="003415A3" w:rsidRPr="000D2A78" w:rsidRDefault="003415A3" w:rsidP="003415A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D2A78">
        <w:rPr>
          <w:sz w:val="20"/>
          <w:szCs w:val="20"/>
        </w:rPr>
        <w:t>Syntax for executing program:</w:t>
      </w:r>
    </w:p>
    <w:p w:rsidR="003415A3" w:rsidRPr="000D2A78" w:rsidRDefault="00612995" w:rsidP="00D457B9">
      <w:pPr>
        <w:pStyle w:val="ListParagraph"/>
        <w:numPr>
          <w:ilvl w:val="1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D2A78">
        <w:rPr>
          <w:rFonts w:ascii="Courier New" w:eastAsia="Times New Roman" w:hAnsi="Courier New" w:cs="Courier New"/>
          <w:color w:val="6A8759"/>
          <w:sz w:val="20"/>
          <w:szCs w:val="20"/>
        </w:rPr>
        <w:t>Hashing &lt;file&gt; &lt;#</w:t>
      </w:r>
      <w:r w:rsidR="003415A3" w:rsidRPr="000D2A7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of elements to process&gt; </w:t>
      </w:r>
      <w:r w:rsidRPr="000D2A78">
        <w:rPr>
          <w:rFonts w:ascii="Courier New" w:eastAsia="Times New Roman" w:hAnsi="Courier New" w:cs="Courier New"/>
          <w:color w:val="6A8759"/>
          <w:sz w:val="20"/>
          <w:szCs w:val="20"/>
        </w:rPr>
        <w:t>[</w:t>
      </w:r>
      <w:r w:rsidR="003415A3" w:rsidRPr="000D2A78">
        <w:rPr>
          <w:rFonts w:ascii="Courier New" w:eastAsia="Times New Roman" w:hAnsi="Courier New" w:cs="Courier New"/>
          <w:color w:val="6A8759"/>
          <w:sz w:val="20"/>
          <w:szCs w:val="20"/>
        </w:rPr>
        <w:t>&lt;-s</w:t>
      </w:r>
      <w:r w:rsidRPr="000D2A78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="003415A3" w:rsidRPr="000D2A7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0D2A78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r w:rsidR="003415A3" w:rsidRPr="000D2A78">
        <w:rPr>
          <w:rFonts w:ascii="Courier New" w:eastAsia="Times New Roman" w:hAnsi="Courier New" w:cs="Courier New"/>
          <w:color w:val="6A8759"/>
          <w:sz w:val="20"/>
          <w:szCs w:val="20"/>
        </w:rPr>
        <w:t>size of hash</w:t>
      </w:r>
      <w:r w:rsidRPr="000D2A7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table&gt; |</w:t>
      </w:r>
      <w:r w:rsidR="003415A3" w:rsidRPr="000D2A7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0D2A78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r w:rsidR="003415A3" w:rsidRPr="000D2A78">
        <w:rPr>
          <w:rFonts w:ascii="Courier New" w:eastAsia="Times New Roman" w:hAnsi="Courier New" w:cs="Courier New"/>
          <w:color w:val="6A8759"/>
          <w:sz w:val="20"/>
          <w:szCs w:val="20"/>
        </w:rPr>
        <w:t>-l</w:t>
      </w:r>
      <w:r w:rsidRPr="000D2A78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="003415A3" w:rsidRPr="000D2A7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0D2A78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r w:rsidR="003415A3" w:rsidRPr="000D2A78">
        <w:rPr>
          <w:rFonts w:ascii="Courier New" w:eastAsia="Times New Roman" w:hAnsi="Courier New" w:cs="Courier New"/>
          <w:color w:val="6A8759"/>
          <w:sz w:val="20"/>
          <w:szCs w:val="20"/>
        </w:rPr>
        <w:t>load factor&gt;</w:t>
      </w:r>
      <w:r w:rsidRPr="000D2A78">
        <w:rPr>
          <w:rFonts w:ascii="Courier New" w:eastAsia="Times New Roman" w:hAnsi="Courier New" w:cs="Courier New"/>
          <w:color w:val="6A8759"/>
          <w:sz w:val="20"/>
          <w:szCs w:val="20"/>
        </w:rPr>
        <w:t>]</w:t>
      </w:r>
    </w:p>
    <w:p w:rsidR="003415A3" w:rsidRPr="000D2A78" w:rsidRDefault="003415A3" w:rsidP="003415A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D2A78">
        <w:rPr>
          <w:sz w:val="20"/>
          <w:szCs w:val="20"/>
        </w:rPr>
        <w:t>Example for reading 1,000 numbers from the file num.txt with a hash table size of 500</w:t>
      </w:r>
    </w:p>
    <w:p w:rsidR="003415A3" w:rsidRPr="000D2A78" w:rsidRDefault="003415A3" w:rsidP="003415A3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0D2A78">
        <w:rPr>
          <w:sz w:val="20"/>
          <w:szCs w:val="20"/>
        </w:rPr>
        <w:t>Hashing nums.txt 1000 -s 500</w:t>
      </w:r>
    </w:p>
    <w:p w:rsidR="003415A3" w:rsidRPr="000D2A78" w:rsidRDefault="003415A3" w:rsidP="003415A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D2A78">
        <w:rPr>
          <w:sz w:val="20"/>
          <w:szCs w:val="20"/>
        </w:rPr>
        <w:t>Example for reading 1,000 numbers from the file num.txt with a load factor of .75</w:t>
      </w:r>
    </w:p>
    <w:p w:rsidR="003415A3" w:rsidRDefault="003415A3" w:rsidP="003415A3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0D2A78">
        <w:rPr>
          <w:sz w:val="20"/>
          <w:szCs w:val="20"/>
        </w:rPr>
        <w:t>Hashing nums.txt 1000 -l .75</w:t>
      </w:r>
    </w:p>
    <w:p w:rsidR="000D2A78" w:rsidRDefault="009865E5" w:rsidP="00E1109C">
      <w:pPr>
        <w:pStyle w:val="Heading3"/>
      </w:pPr>
      <w:r>
        <w:object w:dxaOrig="10242" w:dyaOrig="14386">
          <v:shape id="_x0000_i1025" type="#_x0000_t75" style="width:512.25pt;height:719.25pt" o:ole="">
            <v:imagedata r:id="rId7" o:title=""/>
          </v:shape>
          <o:OLEObject Type="Embed" ProgID="Excel.Sheet.12" ShapeID="_x0000_i1025" DrawAspect="Content" ObjectID="_1509535099" r:id="rId8"/>
        </w:object>
      </w:r>
      <w:r w:rsidR="00E1109C">
        <w:t>Analysis of results</w:t>
      </w:r>
    </w:p>
    <w:p w:rsidR="00E1109C" w:rsidRDefault="00E1109C" w:rsidP="00E1109C">
      <w:r>
        <w:t xml:space="preserve">As one can see from the results the build times are almost exactly identical for a particular size of n, regardless of the load factor. </w:t>
      </w:r>
      <w:r w:rsidR="00D822A9">
        <w:t xml:space="preserve">This is the exact definition of O(n) or linear time to build a particular hash table. </w:t>
      </w:r>
      <w:r w:rsidR="003D64C2">
        <w:t xml:space="preserve">Retrieving an element from a table, regardless of load factor will be done in constant time, or O(1). </w:t>
      </w:r>
    </w:p>
    <w:p w:rsidR="00A50C2B" w:rsidRDefault="00A50C2B" w:rsidP="00E1109C">
      <w:r>
        <w:t xml:space="preserve">With a million elements the largest list is 26, which takes no time at all to scan through for a computer. </w:t>
      </w:r>
      <w:r w:rsidR="008C4A01">
        <w:t xml:space="preserve">Since the results of the operations on a hash table are the same regardless of load factor, the best load </w:t>
      </w:r>
      <w:r w:rsidR="007A2412">
        <w:t>factor</w:t>
      </w:r>
      <w:r w:rsidR="008C4A01">
        <w:t xml:space="preserve"> really comes down to memory management. </w:t>
      </w:r>
    </w:p>
    <w:p w:rsidR="007A2412" w:rsidRDefault="007A2412" w:rsidP="00E1109C">
      <w:r>
        <w:t>I think a load factor of 3 to 10 is ideal for best performance. Therefore the hash table will be anywhere from 4% to 0% empty – most spots in the hash table full – will the longest list ranging from 14 to 26. So this will save memory for the table allocation and still allow operations in constant time of O(1)</w:t>
      </w:r>
      <w:r w:rsidR="00290AB4">
        <w:t xml:space="preserve"> – really O(longest list), however in a particular instance this is constant and therefore becomes O(1)</w:t>
      </w:r>
      <w:r>
        <w:t xml:space="preserve">. </w:t>
      </w:r>
    </w:p>
    <w:p w:rsidR="00367EF7" w:rsidRDefault="00367EF7" w:rsidP="00367EF7">
      <w:pPr>
        <w:pStyle w:val="Heading1"/>
      </w:pPr>
      <w:r>
        <w:t>Bloom filter</w:t>
      </w:r>
    </w:p>
    <w:p w:rsidR="00367EF7" w:rsidRDefault="00F02041" w:rsidP="00367EF7">
      <w:r>
        <w:t xml:space="preserve">The bloom filter was implemented with Java’s BitSet object. This was a preferred class over using an integer array due to its smaller size per element. An int in java takes up 4 bytes – or 32 bits – whereas the BitSet data structure uses one single bit for each element. Therefore an int array of size 100 is 400 bytes – or 1,600 bits – whereas a BitSet object of size 100 is 100 bits! So using a BitSet to set a 0 or 1 flag takes up 32 times less space than the same sized int array!  </w:t>
      </w:r>
    </w:p>
    <w:p w:rsidR="00ED2943" w:rsidRDefault="00F02041" w:rsidP="00367EF7">
      <w:r>
        <w:t>To keep the bloom filter under 1.1 MB in size so it can fit in cache means it cannot take up more than 2</w:t>
      </w:r>
      <w:r>
        <w:rPr>
          <w:vertAlign w:val="superscript"/>
        </w:rPr>
        <w:t>20</w:t>
      </w:r>
      <w:r>
        <w:t xml:space="preserve"> </w:t>
      </w:r>
      <w:r w:rsidR="00F011DD">
        <w:t>bytes, or roughly 1,000,000 bytes. So a max size of 8</w:t>
      </w:r>
      <w:r>
        <w:t xml:space="preserve"> million was used for the bloom filter</w:t>
      </w:r>
      <w:r w:rsidR="00ED2943">
        <w:t xml:space="preserve"> for testing</w:t>
      </w:r>
      <w:r>
        <w:t>.</w:t>
      </w:r>
    </w:p>
    <w:p w:rsidR="00F02041" w:rsidRDefault="00ED2943" w:rsidP="00ED2943">
      <w:pPr>
        <w:pStyle w:val="Heading4"/>
      </w:pPr>
      <w:r>
        <w:t>results</w:t>
      </w:r>
      <w:r w:rsidR="00F02041">
        <w:t xml:space="preserve"> </w:t>
      </w:r>
    </w:p>
    <w:p w:rsidR="00ED2943" w:rsidRDefault="00ED2943" w:rsidP="00ED2943">
      <w:r>
        <w:t>Testing different variations of m, k and n was done in four main stages. M was tested at sizes 1,000 / 10,000 / 100,000 / and 1,000,000. For each size of m I tested three different sizes of k – 1, 2 and 3. Then finally for each size of k I tested 6 sizes of n – 100 / 1,000 / 10,000 / 100,000 / 1,000,000 / and 10,000,000.</w:t>
      </w:r>
      <w:r w:rsidR="00395A51">
        <w:t xml:space="preserve"> </w:t>
      </w:r>
    </w:p>
    <w:p w:rsidR="00395A51" w:rsidRDefault="00395A51" w:rsidP="00ED2943">
      <w:r>
        <w:t>The results are as follows:</w:t>
      </w:r>
    </w:p>
    <w:p w:rsidR="00395A51" w:rsidRDefault="00395A51" w:rsidP="00ED2943"/>
    <w:p w:rsidR="00395A51" w:rsidRDefault="00395A51" w:rsidP="002D3BAE">
      <w:pPr>
        <w:pStyle w:val="IntenseQuote"/>
        <w:jc w:val="center"/>
        <w:rPr>
          <w:rStyle w:val="Strong"/>
        </w:rPr>
      </w:pPr>
      <w:r w:rsidRPr="008B4718">
        <w:rPr>
          <w:rStyle w:val="Strong"/>
        </w:rPr>
        <w:t>(Next Page)</w:t>
      </w:r>
    </w:p>
    <w:p w:rsidR="008B4718" w:rsidRDefault="008B4718" w:rsidP="008B4718"/>
    <w:p w:rsidR="008B4718" w:rsidRDefault="008B4718" w:rsidP="008B4718"/>
    <w:p w:rsidR="008B4718" w:rsidRDefault="008B4718" w:rsidP="008B4718"/>
    <w:p w:rsidR="008B4718" w:rsidRDefault="008B4718" w:rsidP="008B4718"/>
    <w:p w:rsidR="008B4718" w:rsidRDefault="008B4718" w:rsidP="008B4718"/>
    <w:p w:rsidR="008B4718" w:rsidRDefault="00B803DC" w:rsidP="008B4718">
      <w:r>
        <w:object w:dxaOrig="8512" w:dyaOrig="11687">
          <v:shape id="_x0000_i1026" type="#_x0000_t75" style="width:425.25pt;height:584.25pt" o:ole="">
            <v:imagedata r:id="rId9" o:title=""/>
          </v:shape>
          <o:OLEObject Type="Embed" ProgID="Excel.Sheet.12" ShapeID="_x0000_i1026" DrawAspect="Content" ObjectID="_1509535100" r:id="rId10"/>
        </w:object>
      </w:r>
    </w:p>
    <w:p w:rsidR="00DE7CF9" w:rsidRDefault="00DE7CF9" w:rsidP="00DE7CF9">
      <w:pPr>
        <w:pStyle w:val="IntenseQuote"/>
        <w:jc w:val="center"/>
        <w:rPr>
          <w:rStyle w:val="Strong"/>
        </w:rPr>
      </w:pPr>
      <w:r w:rsidRPr="00DE7CF9">
        <w:rPr>
          <w:rStyle w:val="Strong"/>
        </w:rPr>
        <w:t>The graph of the results is below</w:t>
      </w:r>
    </w:p>
    <w:p w:rsidR="00B21E55" w:rsidRDefault="005D0974" w:rsidP="00B21E55">
      <w:r>
        <w:rPr>
          <w:noProof/>
        </w:rPr>
        <w:lastRenderedPageBreak/>
        <w:drawing>
          <wp:inline distT="0" distB="0" distL="0" distR="0" wp14:anchorId="72957B33" wp14:editId="04EB529E">
            <wp:extent cx="6038850" cy="34956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E77C9" w:rsidRDefault="00CC62E5" w:rsidP="00B21E55">
      <w:r>
        <w:rPr>
          <w:noProof/>
        </w:rPr>
        <w:drawing>
          <wp:inline distT="0" distB="0" distL="0" distR="0" wp14:anchorId="057A5724" wp14:editId="3BF444E3">
            <wp:extent cx="6019800" cy="3762375"/>
            <wp:effectExtent l="0" t="0" r="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0306E" w:rsidRDefault="00AE7D75" w:rsidP="00B21E55">
      <w:r>
        <w:rPr>
          <w:noProof/>
        </w:rPr>
        <w:lastRenderedPageBreak/>
        <w:drawing>
          <wp:inline distT="0" distB="0" distL="0" distR="0" wp14:anchorId="209A02F0" wp14:editId="4A9363F7">
            <wp:extent cx="5619750" cy="380047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F5454" w:rsidRDefault="0030609A" w:rsidP="00B21E55">
      <w:r>
        <w:rPr>
          <w:noProof/>
        </w:rPr>
        <w:drawing>
          <wp:inline distT="0" distB="0" distL="0" distR="0" wp14:anchorId="7058C570" wp14:editId="19F13BB8">
            <wp:extent cx="5543550" cy="3886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51024" w:rsidRDefault="005C5052" w:rsidP="00B21E55">
      <w:r>
        <w:rPr>
          <w:noProof/>
        </w:rPr>
        <w:lastRenderedPageBreak/>
        <w:drawing>
          <wp:inline distT="0" distB="0" distL="0" distR="0" wp14:anchorId="6E5FDE67" wp14:editId="590159FB">
            <wp:extent cx="5943600" cy="4047490"/>
            <wp:effectExtent l="0" t="0" r="0" b="1016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51024" w:rsidRDefault="00443AFE" w:rsidP="00443AFE">
      <w:pPr>
        <w:pStyle w:val="Heading1"/>
      </w:pPr>
      <w:r>
        <w:t xml:space="preserve">Part 3: </w:t>
      </w:r>
    </w:p>
    <w:p w:rsidR="008326C6" w:rsidRDefault="008326C6" w:rsidP="008326C6">
      <w:r>
        <w:t xml:space="preserve">For part 3, three different sizes of m were used – 2, 4, and 8 million. Each bloom filter size was tested with three different k sizes – 1, 2, and 3. All tests were conducted with an n of size 4 million. Each test 4 million random numbers were inserted into an unsorted array after being hashed through the bloom filter. Then another three thousand random integers were ‘looked up’ – not </w:t>
      </w:r>
      <w:r w:rsidRPr="008326C6">
        <w:rPr>
          <w:i/>
        </w:rPr>
        <w:t>actually</w:t>
      </w:r>
      <w:r>
        <w:t xml:space="preserve"> looked for in the array, but rather checked against the bloom filter – to see if we were spared the expensive array search. At each iteration I capture the amount of times we knew for sure that the searched element was not in the array, because the bloom filter hashes for that number were 0. </w:t>
      </w:r>
      <w:r w:rsidR="006E2886">
        <w:t xml:space="preserve">Therefore I have plotted as a percentage (out of 3,000 lookups) how many times we did not have to perform the expensive array search for an element when it is 100% not in the array. </w:t>
      </w:r>
    </w:p>
    <w:p w:rsidR="00C60EC9" w:rsidRDefault="00C60EC9" w:rsidP="008326C6"/>
    <w:p w:rsidR="00C60EC9" w:rsidRDefault="00C60EC9" w:rsidP="008326C6"/>
    <w:p w:rsidR="00C60EC9" w:rsidRDefault="00C60EC9" w:rsidP="008326C6"/>
    <w:p w:rsidR="006E2886" w:rsidRDefault="006E2886" w:rsidP="006E2886">
      <w:pPr>
        <w:pStyle w:val="IntenseQuote"/>
        <w:jc w:val="center"/>
        <w:rPr>
          <w:rStyle w:val="Strong"/>
        </w:rPr>
      </w:pPr>
      <w:r w:rsidRPr="006E2886">
        <w:rPr>
          <w:rStyle w:val="Strong"/>
        </w:rPr>
        <w:t>The results are as follows</w:t>
      </w:r>
    </w:p>
    <w:p w:rsidR="00C60EC9" w:rsidRDefault="00C60EC9" w:rsidP="00C60EC9"/>
    <w:p w:rsidR="00C60EC9" w:rsidRPr="00C60EC9" w:rsidRDefault="00C60EC9" w:rsidP="00C60EC9">
      <w:bookmarkStart w:id="0" w:name="_GoBack"/>
      <w:bookmarkEnd w:id="0"/>
    </w:p>
    <w:tbl>
      <w:tblPr>
        <w:tblW w:w="4573" w:type="dxa"/>
        <w:tblInd w:w="2387" w:type="dxa"/>
        <w:tblLook w:val="04A0" w:firstRow="1" w:lastRow="0" w:firstColumn="1" w:lastColumn="0" w:noHBand="0" w:noVBand="1"/>
      </w:tblPr>
      <w:tblGrid>
        <w:gridCol w:w="1309"/>
        <w:gridCol w:w="360"/>
        <w:gridCol w:w="2904"/>
      </w:tblGrid>
      <w:tr w:rsidR="007700C5" w:rsidRPr="007700C5" w:rsidTr="007700C5">
        <w:trPr>
          <w:trHeight w:val="300"/>
        </w:trPr>
        <w:tc>
          <w:tcPr>
            <w:tcW w:w="4573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:rsidR="007700C5" w:rsidRPr="007700C5" w:rsidRDefault="007700C5" w:rsidP="00770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7700C5">
              <w:rPr>
                <w:rFonts w:ascii="Calibri" w:eastAsia="Times New Roman" w:hAnsi="Calibri" w:cs="Times New Roman"/>
                <w:b/>
                <w:bCs/>
                <w:color w:val="FA7D00"/>
              </w:rPr>
              <w:t>Part 3 | n = 4,000,000</w:t>
            </w:r>
          </w:p>
        </w:tc>
      </w:tr>
      <w:tr w:rsidR="007700C5" w:rsidRPr="007700C5" w:rsidTr="007700C5">
        <w:trPr>
          <w:trHeight w:val="405"/>
        </w:trPr>
        <w:tc>
          <w:tcPr>
            <w:tcW w:w="1309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7700C5" w:rsidRPr="007700C5" w:rsidRDefault="007700C5" w:rsidP="007700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30"/>
                <w:szCs w:val="30"/>
              </w:rPr>
            </w:pPr>
            <w:r w:rsidRPr="007700C5">
              <w:rPr>
                <w:rFonts w:ascii="Calibri" w:eastAsia="Times New Roman" w:hAnsi="Calibri" w:cs="Times New Roman"/>
                <w:b/>
                <w:bCs/>
                <w:color w:val="44546A"/>
                <w:sz w:val="30"/>
                <w:szCs w:val="30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7700C5" w:rsidRPr="007700C5" w:rsidRDefault="007700C5" w:rsidP="007700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30"/>
                <w:szCs w:val="30"/>
              </w:rPr>
            </w:pPr>
            <w:r w:rsidRPr="007700C5">
              <w:rPr>
                <w:rFonts w:ascii="Calibri" w:eastAsia="Times New Roman" w:hAnsi="Calibri" w:cs="Times New Roman"/>
                <w:b/>
                <w:bCs/>
                <w:color w:val="44546A"/>
                <w:sz w:val="30"/>
                <w:szCs w:val="30"/>
              </w:rPr>
              <w:t>k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7700C5" w:rsidRPr="007700C5" w:rsidRDefault="007700C5" w:rsidP="007700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4546A"/>
                <w:sz w:val="30"/>
                <w:szCs w:val="30"/>
              </w:rPr>
            </w:pPr>
            <w:r w:rsidRPr="007700C5">
              <w:rPr>
                <w:rFonts w:ascii="Calibri" w:eastAsia="Times New Roman" w:hAnsi="Calibri" w:cs="Times New Roman"/>
                <w:b/>
                <w:bCs/>
                <w:color w:val="44546A"/>
                <w:sz w:val="30"/>
                <w:szCs w:val="30"/>
              </w:rPr>
              <w:t>Saved Lookup %</w:t>
            </w:r>
          </w:p>
        </w:tc>
      </w:tr>
      <w:tr w:rsidR="007700C5" w:rsidRPr="007700C5" w:rsidTr="007700C5">
        <w:trPr>
          <w:trHeight w:val="330"/>
        </w:trPr>
        <w:tc>
          <w:tcPr>
            <w:tcW w:w="1309" w:type="dxa"/>
            <w:vMerge w:val="restart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FCE4D6"/>
            <w:noWrap/>
            <w:vAlign w:val="center"/>
            <w:hideMark/>
          </w:tcPr>
          <w:p w:rsidR="007700C5" w:rsidRPr="007700C5" w:rsidRDefault="007700C5" w:rsidP="00770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00C5">
              <w:rPr>
                <w:rFonts w:ascii="Calibri" w:eastAsia="Times New Roman" w:hAnsi="Calibri" w:cs="Times New Roman"/>
                <w:color w:val="000000"/>
              </w:rPr>
              <w:t>2,000,000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FCE4D6"/>
            <w:noWrap/>
            <w:vAlign w:val="bottom"/>
            <w:hideMark/>
          </w:tcPr>
          <w:p w:rsidR="007700C5" w:rsidRPr="007700C5" w:rsidRDefault="007700C5" w:rsidP="007700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00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FCE4D6"/>
            <w:noWrap/>
            <w:vAlign w:val="bottom"/>
            <w:hideMark/>
          </w:tcPr>
          <w:p w:rsidR="007700C5" w:rsidRPr="007700C5" w:rsidRDefault="007700C5" w:rsidP="007700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00C5">
              <w:rPr>
                <w:rFonts w:ascii="Calibri" w:eastAsia="Times New Roman" w:hAnsi="Calibri" w:cs="Times New Roman"/>
                <w:color w:val="000000"/>
              </w:rPr>
              <w:t>17.67</w:t>
            </w:r>
          </w:p>
        </w:tc>
      </w:tr>
      <w:tr w:rsidR="007700C5" w:rsidRPr="007700C5" w:rsidTr="007700C5">
        <w:trPr>
          <w:trHeight w:val="315"/>
        </w:trPr>
        <w:tc>
          <w:tcPr>
            <w:tcW w:w="1309" w:type="dxa"/>
            <w:vMerge/>
            <w:tcBorders>
              <w:top w:val="nil"/>
              <w:left w:val="nil"/>
              <w:bottom w:val="single" w:sz="8" w:space="0" w:color="9BC2E6"/>
              <w:right w:val="nil"/>
            </w:tcBorders>
            <w:vAlign w:val="center"/>
            <w:hideMark/>
          </w:tcPr>
          <w:p w:rsidR="007700C5" w:rsidRPr="007700C5" w:rsidRDefault="007700C5" w:rsidP="00770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FCE4D6"/>
            <w:noWrap/>
            <w:vAlign w:val="bottom"/>
            <w:hideMark/>
          </w:tcPr>
          <w:p w:rsidR="007700C5" w:rsidRPr="007700C5" w:rsidRDefault="007700C5" w:rsidP="007700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00C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FCE4D6"/>
            <w:noWrap/>
            <w:vAlign w:val="bottom"/>
            <w:hideMark/>
          </w:tcPr>
          <w:p w:rsidR="007700C5" w:rsidRPr="007700C5" w:rsidRDefault="007700C5" w:rsidP="007700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00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700C5" w:rsidRPr="007700C5" w:rsidTr="007700C5">
        <w:trPr>
          <w:trHeight w:val="315"/>
        </w:trPr>
        <w:tc>
          <w:tcPr>
            <w:tcW w:w="1309" w:type="dxa"/>
            <w:vMerge/>
            <w:tcBorders>
              <w:top w:val="nil"/>
              <w:left w:val="nil"/>
              <w:bottom w:val="single" w:sz="8" w:space="0" w:color="9BC2E6"/>
              <w:right w:val="nil"/>
            </w:tcBorders>
            <w:vAlign w:val="center"/>
            <w:hideMark/>
          </w:tcPr>
          <w:p w:rsidR="007700C5" w:rsidRPr="007700C5" w:rsidRDefault="007700C5" w:rsidP="00770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FCE4D6"/>
            <w:noWrap/>
            <w:vAlign w:val="bottom"/>
            <w:hideMark/>
          </w:tcPr>
          <w:p w:rsidR="007700C5" w:rsidRPr="007700C5" w:rsidRDefault="007700C5" w:rsidP="007700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00C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FCE4D6"/>
            <w:noWrap/>
            <w:vAlign w:val="bottom"/>
            <w:hideMark/>
          </w:tcPr>
          <w:p w:rsidR="007700C5" w:rsidRPr="007700C5" w:rsidRDefault="007700C5" w:rsidP="007700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00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700C5" w:rsidRPr="007700C5" w:rsidTr="007700C5">
        <w:trPr>
          <w:trHeight w:val="315"/>
        </w:trPr>
        <w:tc>
          <w:tcPr>
            <w:tcW w:w="1309" w:type="dxa"/>
            <w:vMerge w:val="restart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7700C5" w:rsidRPr="007700C5" w:rsidRDefault="007700C5" w:rsidP="00770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00C5">
              <w:rPr>
                <w:rFonts w:ascii="Calibri" w:eastAsia="Times New Roman" w:hAnsi="Calibri" w:cs="Times New Roman"/>
                <w:color w:val="000000"/>
              </w:rPr>
              <w:t>4,000,000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bottom"/>
            <w:hideMark/>
          </w:tcPr>
          <w:p w:rsidR="007700C5" w:rsidRPr="007700C5" w:rsidRDefault="007700C5" w:rsidP="007700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00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bottom"/>
            <w:hideMark/>
          </w:tcPr>
          <w:p w:rsidR="007700C5" w:rsidRPr="007700C5" w:rsidRDefault="007700C5" w:rsidP="007700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00C5">
              <w:rPr>
                <w:rFonts w:ascii="Calibri" w:eastAsia="Times New Roman" w:hAnsi="Calibri" w:cs="Times New Roman"/>
                <w:color w:val="000000"/>
              </w:rPr>
              <w:t>22.63</w:t>
            </w:r>
          </w:p>
        </w:tc>
      </w:tr>
      <w:tr w:rsidR="007700C5" w:rsidRPr="007700C5" w:rsidTr="007700C5">
        <w:trPr>
          <w:trHeight w:val="315"/>
        </w:trPr>
        <w:tc>
          <w:tcPr>
            <w:tcW w:w="1309" w:type="dxa"/>
            <w:vMerge/>
            <w:tcBorders>
              <w:top w:val="nil"/>
              <w:left w:val="nil"/>
              <w:bottom w:val="single" w:sz="8" w:space="0" w:color="9BC2E6"/>
              <w:right w:val="nil"/>
            </w:tcBorders>
            <w:vAlign w:val="center"/>
            <w:hideMark/>
          </w:tcPr>
          <w:p w:rsidR="007700C5" w:rsidRPr="007700C5" w:rsidRDefault="007700C5" w:rsidP="00770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bottom"/>
            <w:hideMark/>
          </w:tcPr>
          <w:p w:rsidR="007700C5" w:rsidRPr="007700C5" w:rsidRDefault="007700C5" w:rsidP="007700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00C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bottom"/>
            <w:hideMark/>
          </w:tcPr>
          <w:p w:rsidR="007700C5" w:rsidRPr="007700C5" w:rsidRDefault="007700C5" w:rsidP="007700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00C5">
              <w:rPr>
                <w:rFonts w:ascii="Calibri" w:eastAsia="Times New Roman" w:hAnsi="Calibri" w:cs="Times New Roman"/>
                <w:color w:val="000000"/>
              </w:rPr>
              <w:t>2.26</w:t>
            </w:r>
          </w:p>
        </w:tc>
      </w:tr>
      <w:tr w:rsidR="007700C5" w:rsidRPr="007700C5" w:rsidTr="007700C5">
        <w:trPr>
          <w:trHeight w:val="315"/>
        </w:trPr>
        <w:tc>
          <w:tcPr>
            <w:tcW w:w="1309" w:type="dxa"/>
            <w:vMerge/>
            <w:tcBorders>
              <w:top w:val="nil"/>
              <w:left w:val="nil"/>
              <w:bottom w:val="single" w:sz="8" w:space="0" w:color="9BC2E6"/>
              <w:right w:val="nil"/>
            </w:tcBorders>
            <w:vAlign w:val="center"/>
            <w:hideMark/>
          </w:tcPr>
          <w:p w:rsidR="007700C5" w:rsidRPr="007700C5" w:rsidRDefault="007700C5" w:rsidP="00770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bottom"/>
            <w:hideMark/>
          </w:tcPr>
          <w:p w:rsidR="007700C5" w:rsidRPr="007700C5" w:rsidRDefault="007700C5" w:rsidP="007700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00C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bottom"/>
            <w:hideMark/>
          </w:tcPr>
          <w:p w:rsidR="007700C5" w:rsidRPr="007700C5" w:rsidRDefault="007700C5" w:rsidP="007700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00C5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</w:tr>
      <w:tr w:rsidR="007700C5" w:rsidRPr="007700C5" w:rsidTr="007700C5">
        <w:trPr>
          <w:trHeight w:val="315"/>
        </w:trPr>
        <w:tc>
          <w:tcPr>
            <w:tcW w:w="1309" w:type="dxa"/>
            <w:vMerge w:val="restart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FCE4D6"/>
            <w:noWrap/>
            <w:vAlign w:val="center"/>
            <w:hideMark/>
          </w:tcPr>
          <w:p w:rsidR="007700C5" w:rsidRPr="007700C5" w:rsidRDefault="007700C5" w:rsidP="00770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00C5">
              <w:rPr>
                <w:rFonts w:ascii="Calibri" w:eastAsia="Times New Roman" w:hAnsi="Calibri" w:cs="Times New Roman"/>
                <w:color w:val="000000"/>
              </w:rPr>
              <w:t>8,000,000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FCE4D6"/>
            <w:noWrap/>
            <w:vAlign w:val="bottom"/>
            <w:hideMark/>
          </w:tcPr>
          <w:p w:rsidR="007700C5" w:rsidRPr="007700C5" w:rsidRDefault="007700C5" w:rsidP="007700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00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FCE4D6"/>
            <w:noWrap/>
            <w:vAlign w:val="bottom"/>
            <w:hideMark/>
          </w:tcPr>
          <w:p w:rsidR="007700C5" w:rsidRPr="007700C5" w:rsidRDefault="007700C5" w:rsidP="007700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00C5">
              <w:rPr>
                <w:rFonts w:ascii="Calibri" w:eastAsia="Times New Roman" w:hAnsi="Calibri" w:cs="Times New Roman"/>
                <w:color w:val="000000"/>
              </w:rPr>
              <w:t>38.16</w:t>
            </w:r>
          </w:p>
        </w:tc>
      </w:tr>
      <w:tr w:rsidR="007700C5" w:rsidRPr="007700C5" w:rsidTr="007700C5">
        <w:trPr>
          <w:trHeight w:val="315"/>
        </w:trPr>
        <w:tc>
          <w:tcPr>
            <w:tcW w:w="1309" w:type="dxa"/>
            <w:vMerge/>
            <w:tcBorders>
              <w:top w:val="nil"/>
              <w:left w:val="nil"/>
              <w:bottom w:val="single" w:sz="8" w:space="0" w:color="9BC2E6"/>
              <w:right w:val="nil"/>
            </w:tcBorders>
            <w:vAlign w:val="center"/>
            <w:hideMark/>
          </w:tcPr>
          <w:p w:rsidR="007700C5" w:rsidRPr="007700C5" w:rsidRDefault="007700C5" w:rsidP="00770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FCE4D6"/>
            <w:noWrap/>
            <w:vAlign w:val="bottom"/>
            <w:hideMark/>
          </w:tcPr>
          <w:p w:rsidR="007700C5" w:rsidRPr="007700C5" w:rsidRDefault="007700C5" w:rsidP="007700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00C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FCE4D6"/>
            <w:noWrap/>
            <w:vAlign w:val="bottom"/>
            <w:hideMark/>
          </w:tcPr>
          <w:p w:rsidR="007700C5" w:rsidRPr="007700C5" w:rsidRDefault="007700C5" w:rsidP="007700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00C5">
              <w:rPr>
                <w:rFonts w:ascii="Calibri" w:eastAsia="Times New Roman" w:hAnsi="Calibri" w:cs="Times New Roman"/>
                <w:color w:val="000000"/>
              </w:rPr>
              <w:t>12.2</w:t>
            </w:r>
          </w:p>
        </w:tc>
      </w:tr>
      <w:tr w:rsidR="007700C5" w:rsidRPr="007700C5" w:rsidTr="007700C5">
        <w:trPr>
          <w:trHeight w:val="315"/>
        </w:trPr>
        <w:tc>
          <w:tcPr>
            <w:tcW w:w="1309" w:type="dxa"/>
            <w:vMerge/>
            <w:tcBorders>
              <w:top w:val="nil"/>
              <w:left w:val="nil"/>
              <w:bottom w:val="single" w:sz="8" w:space="0" w:color="9BC2E6"/>
              <w:right w:val="nil"/>
            </w:tcBorders>
            <w:vAlign w:val="center"/>
            <w:hideMark/>
          </w:tcPr>
          <w:p w:rsidR="007700C5" w:rsidRPr="007700C5" w:rsidRDefault="007700C5" w:rsidP="00770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FCE4D6"/>
            <w:noWrap/>
            <w:vAlign w:val="bottom"/>
            <w:hideMark/>
          </w:tcPr>
          <w:p w:rsidR="007700C5" w:rsidRPr="007700C5" w:rsidRDefault="007700C5" w:rsidP="007700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00C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FCE4D6"/>
            <w:noWrap/>
            <w:vAlign w:val="bottom"/>
            <w:hideMark/>
          </w:tcPr>
          <w:p w:rsidR="007700C5" w:rsidRPr="007700C5" w:rsidRDefault="007700C5" w:rsidP="007700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00C5">
              <w:rPr>
                <w:rFonts w:ascii="Calibri" w:eastAsia="Times New Roman" w:hAnsi="Calibri" w:cs="Times New Roman"/>
                <w:color w:val="000000"/>
              </w:rPr>
              <w:t>1.47</w:t>
            </w:r>
          </w:p>
        </w:tc>
      </w:tr>
    </w:tbl>
    <w:p w:rsidR="006E2886" w:rsidRDefault="006E2886" w:rsidP="007700C5">
      <w:pPr>
        <w:jc w:val="center"/>
      </w:pPr>
    </w:p>
    <w:p w:rsidR="007700C5" w:rsidRDefault="00AA6847" w:rsidP="007700C5">
      <w:r>
        <w:rPr>
          <w:noProof/>
        </w:rPr>
        <w:drawing>
          <wp:anchor distT="0" distB="0" distL="114300" distR="114300" simplePos="0" relativeHeight="251658240" behindDoc="1" locked="0" layoutInCell="1" allowOverlap="1" wp14:anchorId="198C7CA3" wp14:editId="3D963C34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200650" cy="2743200"/>
            <wp:effectExtent l="0" t="0" r="0" b="0"/>
            <wp:wrapNone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</w:p>
    <w:p w:rsidR="00DA770C" w:rsidRDefault="00DA770C" w:rsidP="007700C5"/>
    <w:p w:rsidR="008A5C3B" w:rsidRDefault="008A5C3B" w:rsidP="007700C5"/>
    <w:p w:rsidR="008A5C3B" w:rsidRDefault="008A5C3B" w:rsidP="007700C5"/>
    <w:p w:rsidR="008A5C3B" w:rsidRDefault="008A5C3B" w:rsidP="007700C5"/>
    <w:p w:rsidR="008A5C3B" w:rsidRDefault="008A5C3B" w:rsidP="007700C5"/>
    <w:p w:rsidR="008A5C3B" w:rsidRDefault="008A5C3B" w:rsidP="007700C5"/>
    <w:p w:rsidR="008A5C3B" w:rsidRDefault="008A5C3B" w:rsidP="007700C5"/>
    <w:p w:rsidR="008A5C3B" w:rsidRDefault="008A5C3B" w:rsidP="007700C5"/>
    <w:p w:rsidR="008A5C3B" w:rsidRDefault="00CE0136" w:rsidP="00CE0136">
      <w:pPr>
        <w:pStyle w:val="Heading1"/>
      </w:pPr>
      <w:r>
        <w:t>Conclusion</w:t>
      </w:r>
    </w:p>
    <w:p w:rsidR="00CE0136" w:rsidRDefault="00CE0136" w:rsidP="00CE0136">
      <w:r>
        <w:t xml:space="preserve">After doing multiple tests on data using bloom filters, it is apparent that k hash functions needs to be smaller to get better results. All my tests were done using 1, 2 and 3 different hash funtions, and the best results were captured when k was one. </w:t>
      </w:r>
      <w:r w:rsidR="002C1152">
        <w:t>It is also better if the size of the bloom filter, m, is larger than your data set being entered into the bloom filter.</w:t>
      </w:r>
    </w:p>
    <w:p w:rsidR="002C1152" w:rsidRPr="00CE0136" w:rsidRDefault="002C1152" w:rsidP="00CE0136">
      <w:r>
        <w:t xml:space="preserve">However, the actual size of the bloom filter did not change results, only the size of the bloom filter in relation to the data set, as a percentage of the data being entered. It is best to be of the same size or larger as the amount of data being entered. </w:t>
      </w:r>
      <w:r w:rsidR="00EB34DE">
        <w:t>If m is at least the same size or twice as large as the data set then the best results will be obtained, especially if only using one hash function.</w:t>
      </w:r>
    </w:p>
    <w:sectPr w:rsidR="002C1152" w:rsidRPr="00CE0136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A33" w:rsidRDefault="00A70A33" w:rsidP="00113D6C">
      <w:pPr>
        <w:spacing w:after="0" w:line="240" w:lineRule="auto"/>
      </w:pPr>
      <w:r>
        <w:separator/>
      </w:r>
    </w:p>
  </w:endnote>
  <w:endnote w:type="continuationSeparator" w:id="0">
    <w:p w:rsidR="00A70A33" w:rsidRDefault="00A70A33" w:rsidP="00113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A33" w:rsidRDefault="00A70A33" w:rsidP="00113D6C">
      <w:pPr>
        <w:spacing w:after="0" w:line="240" w:lineRule="auto"/>
      </w:pPr>
      <w:r>
        <w:separator/>
      </w:r>
    </w:p>
  </w:footnote>
  <w:footnote w:type="continuationSeparator" w:id="0">
    <w:p w:rsidR="00A70A33" w:rsidRDefault="00A70A33" w:rsidP="00113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D6C" w:rsidRDefault="00113D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right</wp:align>
              </wp:positionH>
              <wp:positionV relativeFrom="topMargin">
                <wp:posOffset>371475</wp:posOffset>
              </wp:positionV>
              <wp:extent cx="5943600" cy="523875"/>
              <wp:effectExtent l="0" t="0" r="0" b="952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523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13D6C" w:rsidRDefault="00113D6C">
                              <w:pPr>
                                <w:spacing w:after="0" w:line="240" w:lineRule="auto"/>
                              </w:pPr>
                              <w:r>
                                <w:t>James Stell</w:t>
                              </w:r>
                            </w:p>
                          </w:sdtContent>
                        </w:sdt>
                        <w:p w:rsidR="00113D6C" w:rsidRDefault="00113D6C">
                          <w:pPr>
                            <w:spacing w:after="0" w:line="240" w:lineRule="auto"/>
                          </w:pPr>
                          <w:r>
                            <w:t>ITCS 6114</w:t>
                          </w:r>
                        </w:p>
                        <w:p w:rsidR="00113D6C" w:rsidRDefault="00113D6C">
                          <w:pPr>
                            <w:spacing w:after="0" w:line="240" w:lineRule="auto"/>
                          </w:pPr>
                          <w:r>
                            <w:t>Nov. 16, 2015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416.8pt;margin-top:29.25pt;width:468pt;height:41.25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FyRtQIAALcFAAAOAAAAZHJzL2Uyb0RvYy54bWysVG1vmzAQ/j5p/8Hyd8pLIQFUUrUhTJO6&#10;F6ndD3CMCdbAZrYT0k377zubJE1bTZq28QHZ5/Nz99w9vqvrfd+hHVOaS1Hg8CLAiAkqay42Bf7y&#10;UHkpRtoQUZNOClbgR6bx9eLtm6txyFkkW9nVTCEAETofhwK3xgy572vasp7oCzkwAYeNVD0xsFUb&#10;v1ZkBPS+86MgmPmjVPWgJGVag7WcDvHC4TcNo+ZT02hmUFdgyM24v3L/tf37iyuSbxQZWk4PaZC/&#10;yKInXEDQE1RJDEFbxV9B9ZwqqWVjLqjsfdk0nDLHAdiEwQs29y0ZmOMCxdHDqUz6/8HSj7vPCvG6&#10;wFEIrRKkhyY9sL1Bt3KPrA0qNA46B8f7AVzNHg6g046tHu4k/aqRkMuWiA27UUqOLSM1ZBjam/7Z&#10;1QlHW5D1+EHWEIhsjXRA+0b1tnxQEATo0KnHU3dsMhSMSRZfzgI4onCWRJfpPHEhSH68PSht3jHZ&#10;I7sosILuO3Syu9PGZkPyo4sNJmTFu84poBPPDOA4WSA2XLVnNgvX0B9ZkK3SVRp7cTRbeXFQlt5N&#10;tYy9WRXOk/KyXC7L8KeNG8Z5y+uaCRvmKK4w/rPmHWQ+yeIkLy07Xls4m5JWm/WyU2hHQNyV+w4F&#10;OXPzn6fhigBcXlAKozi4jTKvmqVzL67ixMvmQeoFYXabzYI4i8vqOaU7Lti/U0JjgbMkSiYx/ZZb&#10;4L7X3EjecwPjo+N9gdOTE8mtBFeidq01hHfT+qwUNv2nUkC7j412grUandRq9us9oFgVr2X9CNJV&#10;EpQFIoSZB4tWqu8YjTA/Cqy/bYliGHXvBcg/C+PYDhy3gYU6t66PViIoQBSYGoXRtFmaaTxtB8U3&#10;LcSYnpqQN/BYGu50/JTP4YnBdHB0DpPMjp/zvfN6mreLXwAAAP//AwBQSwMEFAAGAAgAAAAhAFwj&#10;dUzeAAAABwEAAA8AAABkcnMvZG93bnJldi54bWxMj0FLw0AQhe+C/2EZwYvYTbQtNWZTRPDgoWCj&#10;KN4m2TEJZmdDdtuk/97xpMc37/HeN/l2dr060hg6zwbSRQKKuPa248bA2+vT9QZUiMgWe89k4EQB&#10;tsX5WY6Z9RPv6VjGRkkJhwwNtDEOmdahbslhWPiBWLwvPzqMIsdG2xEnKXe9vkmStXbYsSy0ONBj&#10;S/V3eXAGsP0ocXn1jju7fz59VvW0a9IXYy4v5od7UJHm+BeGX3xBh0KYKn9gG1RvQB6JBlabFShx&#10;727XcqgktkwT0EWu//MXPwAAAP//AwBQSwECLQAUAAYACAAAACEAtoM4kv4AAADhAQAAEwAAAAAA&#10;AAAAAAAAAAAAAAAAW0NvbnRlbnRfVHlwZXNdLnhtbFBLAQItABQABgAIAAAAIQA4/SH/1gAAAJQB&#10;AAALAAAAAAAAAAAAAAAAAC8BAABfcmVscy8ucmVsc1BLAQItABQABgAIAAAAIQDxGFyRtQIAALcF&#10;AAAOAAAAAAAAAAAAAAAAAC4CAABkcnMvZTJvRG9jLnhtbFBLAQItABQABgAIAAAAIQBcI3VM3gAA&#10;AAcBAAAPAAAAAAAAAAAAAAAAAA8FAABkcnMvZG93bnJldi54bWxQSwUGAAAAAAQABADzAAAAGgYA&#10;AAAA&#10;" o:allowincell="f" filled="f" stroked="f">
              <v:textbox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13D6C" w:rsidRDefault="00113D6C">
                        <w:pPr>
                          <w:spacing w:after="0" w:line="240" w:lineRule="auto"/>
                        </w:pPr>
                        <w:r>
                          <w:t>James Stell</w:t>
                        </w:r>
                      </w:p>
                    </w:sdtContent>
                  </w:sdt>
                  <w:p w:rsidR="00113D6C" w:rsidRDefault="00113D6C">
                    <w:pPr>
                      <w:spacing w:after="0" w:line="240" w:lineRule="auto"/>
                    </w:pPr>
                    <w:r>
                      <w:t>ITCS 6114</w:t>
                    </w:r>
                  </w:p>
                  <w:p w:rsidR="00113D6C" w:rsidRDefault="00113D6C">
                    <w:pPr>
                      <w:spacing w:after="0" w:line="240" w:lineRule="auto"/>
                    </w:pPr>
                    <w:r>
                      <w:t>Nov. 16, 2015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113D6C" w:rsidRDefault="00113D6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60EC9" w:rsidRPr="00C60EC9">
                            <w:rPr>
                              <w:noProof/>
                              <w:color w:val="FFFFFF" w:themeColor="background1"/>
                            </w:rPr>
                            <w:t>8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113D6C" w:rsidRDefault="00113D6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60EC9" w:rsidRPr="00C60EC9">
                      <w:rPr>
                        <w:noProof/>
                        <w:color w:val="FFFFFF" w:themeColor="background1"/>
                      </w:rPr>
                      <w:t>8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8" type="#_x0000_t75" style="width:129.6pt;height:129.6pt" o:bullet="t">
        <v:imagedata r:id="rId1" o:title="bullet_ball_glass_blue[1]"/>
      </v:shape>
    </w:pict>
  </w:numPicBullet>
  <w:numPicBullet w:numPicBulletId="1">
    <w:pict>
      <v:shape id="_x0000_i1189" type="#_x0000_t75" style="width:129.6pt;height:129.6pt" o:bullet="t">
        <v:imagedata r:id="rId2" o:title="bullet_square_red[1]"/>
      </v:shape>
    </w:pict>
  </w:numPicBullet>
  <w:numPicBullet w:numPicBulletId="2">
    <w:pict>
      <v:shape id="_x0000_i1190" type="#_x0000_t75" style="width:299.95pt;height:249.95pt" o:bullet="t">
        <v:imagedata r:id="rId3" o:title="bulletpoint[1]"/>
      </v:shape>
    </w:pict>
  </w:numPicBullet>
  <w:abstractNum w:abstractNumId="0" w15:restartNumberingAfterBreak="0">
    <w:nsid w:val="293A4EDD"/>
    <w:multiLevelType w:val="hybridMultilevel"/>
    <w:tmpl w:val="79C4C0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165EED"/>
    <w:multiLevelType w:val="hybridMultilevel"/>
    <w:tmpl w:val="CC8E0C26"/>
    <w:lvl w:ilvl="0" w:tplc="7A0ED68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D38C1B0E">
      <w:start w:val="1"/>
      <w:numFmt w:val="bullet"/>
      <w:lvlText w:val=""/>
      <w:lvlPicBulletId w:val="1"/>
      <w:lvlJc w:val="left"/>
      <w:pPr>
        <w:ind w:left="2520" w:hanging="360"/>
      </w:pPr>
      <w:rPr>
        <w:rFonts w:ascii="Symbol" w:hAnsi="Symbol" w:hint="default"/>
        <w:color w:val="auto"/>
      </w:rPr>
    </w:lvl>
    <w:lvl w:ilvl="2" w:tplc="2C7AC4DA">
      <w:start w:val="1"/>
      <w:numFmt w:val="bullet"/>
      <w:lvlText w:val=""/>
      <w:lvlPicBulletId w:val="2"/>
      <w:lvlJc w:val="left"/>
      <w:pPr>
        <w:ind w:left="324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EE8592D"/>
    <w:multiLevelType w:val="hybridMultilevel"/>
    <w:tmpl w:val="C62280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D6C"/>
    <w:rsid w:val="000D2A78"/>
    <w:rsid w:val="000F5E1C"/>
    <w:rsid w:val="00113D6C"/>
    <w:rsid w:val="00172702"/>
    <w:rsid w:val="001D476D"/>
    <w:rsid w:val="001E7E76"/>
    <w:rsid w:val="00290AB4"/>
    <w:rsid w:val="002A7A0E"/>
    <w:rsid w:val="002C1152"/>
    <w:rsid w:val="002D3BAE"/>
    <w:rsid w:val="0030609A"/>
    <w:rsid w:val="003415A3"/>
    <w:rsid w:val="00351024"/>
    <w:rsid w:val="00367EF7"/>
    <w:rsid w:val="00395A51"/>
    <w:rsid w:val="003D64C2"/>
    <w:rsid w:val="003F5454"/>
    <w:rsid w:val="00443AFE"/>
    <w:rsid w:val="004511FA"/>
    <w:rsid w:val="00454C49"/>
    <w:rsid w:val="004761BF"/>
    <w:rsid w:val="004B76C9"/>
    <w:rsid w:val="00576ED5"/>
    <w:rsid w:val="005B02B6"/>
    <w:rsid w:val="005C5052"/>
    <w:rsid w:val="005D0974"/>
    <w:rsid w:val="005F36FF"/>
    <w:rsid w:val="00612995"/>
    <w:rsid w:val="006E2886"/>
    <w:rsid w:val="006E6B87"/>
    <w:rsid w:val="0070306E"/>
    <w:rsid w:val="007700C5"/>
    <w:rsid w:val="007A2412"/>
    <w:rsid w:val="007F493A"/>
    <w:rsid w:val="008326C6"/>
    <w:rsid w:val="008A5C3B"/>
    <w:rsid w:val="008B4718"/>
    <w:rsid w:val="008C0202"/>
    <w:rsid w:val="008C4A01"/>
    <w:rsid w:val="008E77C9"/>
    <w:rsid w:val="008F5DF6"/>
    <w:rsid w:val="0094226A"/>
    <w:rsid w:val="00950751"/>
    <w:rsid w:val="00951070"/>
    <w:rsid w:val="009865E5"/>
    <w:rsid w:val="009A7336"/>
    <w:rsid w:val="009B7F38"/>
    <w:rsid w:val="00A50C2B"/>
    <w:rsid w:val="00A705E8"/>
    <w:rsid w:val="00A70A33"/>
    <w:rsid w:val="00A77D9C"/>
    <w:rsid w:val="00AA6847"/>
    <w:rsid w:val="00AE7D75"/>
    <w:rsid w:val="00B21E55"/>
    <w:rsid w:val="00B803DC"/>
    <w:rsid w:val="00BC1DC3"/>
    <w:rsid w:val="00C60EC9"/>
    <w:rsid w:val="00CC62E5"/>
    <w:rsid w:val="00CD5F89"/>
    <w:rsid w:val="00CE0136"/>
    <w:rsid w:val="00D0377B"/>
    <w:rsid w:val="00D457B9"/>
    <w:rsid w:val="00D822A9"/>
    <w:rsid w:val="00DA770C"/>
    <w:rsid w:val="00DE1A8E"/>
    <w:rsid w:val="00DE7CF9"/>
    <w:rsid w:val="00E1109C"/>
    <w:rsid w:val="00EB34DE"/>
    <w:rsid w:val="00ED2943"/>
    <w:rsid w:val="00F011DD"/>
    <w:rsid w:val="00F02041"/>
    <w:rsid w:val="00F2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F12049-6D4C-4199-833F-4A2EEB8F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D6C"/>
  </w:style>
  <w:style w:type="paragraph" w:styleId="Heading1">
    <w:name w:val="heading 1"/>
    <w:basedOn w:val="Normal"/>
    <w:next w:val="Normal"/>
    <w:link w:val="Heading1Char"/>
    <w:uiPriority w:val="9"/>
    <w:qFormat/>
    <w:rsid w:val="00113D6C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D6C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3D6C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3D6C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D6C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D6C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D6C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D6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D6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D6C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D6C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13D6C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13D6C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D6C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D6C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D6C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D6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D6C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3D6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3D6C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13D6C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D6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13D6C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113D6C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113D6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13D6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3D6C"/>
  </w:style>
  <w:style w:type="paragraph" w:styleId="ListParagraph">
    <w:name w:val="List Paragraph"/>
    <w:basedOn w:val="Normal"/>
    <w:uiPriority w:val="34"/>
    <w:qFormat/>
    <w:rsid w:val="00113D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3D6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13D6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D6C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D6C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13D6C"/>
    <w:rPr>
      <w:i/>
      <w:iCs/>
    </w:rPr>
  </w:style>
  <w:style w:type="character" w:styleId="IntenseEmphasis">
    <w:name w:val="Intense Emphasis"/>
    <w:uiPriority w:val="21"/>
    <w:qFormat/>
    <w:rsid w:val="00113D6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13D6C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113D6C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113D6C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3D6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3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D6C"/>
  </w:style>
  <w:style w:type="paragraph" w:styleId="Footer">
    <w:name w:val="footer"/>
    <w:basedOn w:val="Normal"/>
    <w:link w:val="FooterChar"/>
    <w:uiPriority w:val="99"/>
    <w:unhideWhenUsed/>
    <w:rsid w:val="00113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D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5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13" Type="http://schemas.openxmlformats.org/officeDocument/2006/relationships/chart" Target="charts/chart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emf"/><Relationship Id="rId12" Type="http://schemas.openxmlformats.org/officeDocument/2006/relationships/chart" Target="charts/chart2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chart" Target="charts/chart5.xml"/><Relationship Id="rId10" Type="http://schemas.openxmlformats.org/officeDocument/2006/relationships/package" Target="embeddings/Microsoft_Excel_Worksheet2.xlsx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chart" Target="charts/chart4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ad\School\Fall%202015\6114_Algorithms\Programs\Assignment_4\Hashing\LoadFactor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ad\School\Fall%202015\6114_Algorithms\Programs\Assignment_4\Hashing\LoadFactor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ad\School\Fall%202015\6114_Algorithms\Programs\Assignment_4\Hashing\LoadFactor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ad\School\Fall%202015\6114_Algorithms\Programs\Assignment_4\Hashing\LoadFactor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ad\School\Fall%202015\6114_Algorithms\Programs\Assignment_4\Hashing\LoadFactor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ad\School\Fall%202015\6114_Algorithms\Programs\Assignment_4\Hashing\LoadFactor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 = 1,000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k =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Sheet2!$C$3:$C$8</c:f>
              <c:numCache>
                <c:formatCode>_(* #,##0_);_(* \(#,##0\);_(* "-"??_);_(@_)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cat>
          <c:val>
            <c:numRef>
              <c:f>Sheet2!$D$3:$D$8</c:f>
              <c:numCache>
                <c:formatCode>General</c:formatCode>
                <c:ptCount val="6"/>
                <c:pt idx="0">
                  <c:v>9.6</c:v>
                </c:pt>
                <c:pt idx="1">
                  <c:v>62.4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</c:numCache>
            </c:numRef>
          </c:val>
          <c:smooth val="0"/>
        </c:ser>
        <c:ser>
          <c:idx val="1"/>
          <c:order val="1"/>
          <c:tx>
            <c:v>k = 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Sheet2!$D$9:$D$14</c:f>
              <c:numCache>
                <c:formatCode>General</c:formatCode>
                <c:ptCount val="6"/>
                <c:pt idx="0">
                  <c:v>17.8</c:v>
                </c:pt>
                <c:pt idx="1">
                  <c:v>87.6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</c:numCache>
            </c:numRef>
          </c:val>
          <c:smooth val="0"/>
        </c:ser>
        <c:ser>
          <c:idx val="2"/>
          <c:order val="2"/>
          <c:tx>
            <c:v>k = 3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Sheet2!$D$15:$D$20</c:f>
              <c:numCache>
                <c:formatCode>General</c:formatCode>
                <c:ptCount val="6"/>
                <c:pt idx="0">
                  <c:v>25.6</c:v>
                </c:pt>
                <c:pt idx="1">
                  <c:v>96.7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0932488"/>
        <c:axId val="450920728"/>
      </c:lineChart>
      <c:catAx>
        <c:axId val="450932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  <a:r>
                  <a:rPr lang="en-US" baseline="0"/>
                  <a:t> of 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920728"/>
        <c:crosses val="autoZero"/>
        <c:auto val="1"/>
        <c:lblAlgn val="ctr"/>
        <c:lblOffset val="100"/>
        <c:noMultiLvlLbl val="0"/>
      </c:catAx>
      <c:valAx>
        <c:axId val="450920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 Occupancy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932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</a:t>
            </a:r>
            <a:r>
              <a:rPr lang="en-US" baseline="0"/>
              <a:t> = 10,000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k =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Sheet2!$G$3:$G$8</c:f>
              <c:numCache>
                <c:formatCode>_(* #,##0_);_(* \(#,##0\);_(* "-"??_);_(@_)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cat>
          <c:val>
            <c:numRef>
              <c:f>Sheet2!$H$3:$H$8</c:f>
              <c:numCache>
                <c:formatCode>General</c:formatCode>
                <c:ptCount val="6"/>
                <c:pt idx="0">
                  <c:v>1</c:v>
                </c:pt>
                <c:pt idx="1">
                  <c:v>9.39</c:v>
                </c:pt>
                <c:pt idx="2">
                  <c:v>63.33</c:v>
                </c:pt>
                <c:pt idx="3">
                  <c:v>99.99</c:v>
                </c:pt>
                <c:pt idx="4">
                  <c:v>100</c:v>
                </c:pt>
                <c:pt idx="5">
                  <c:v>100</c:v>
                </c:pt>
              </c:numCache>
            </c:numRef>
          </c:val>
          <c:smooth val="0"/>
        </c:ser>
        <c:ser>
          <c:idx val="1"/>
          <c:order val="1"/>
          <c:tx>
            <c:v>k = 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Sheet2!$H$9:$H$14</c:f>
              <c:numCache>
                <c:formatCode>General</c:formatCode>
                <c:ptCount val="6"/>
                <c:pt idx="0">
                  <c:v>2</c:v>
                </c:pt>
                <c:pt idx="1">
                  <c:v>18.04</c:v>
                </c:pt>
                <c:pt idx="2">
                  <c:v>86.01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</c:numCache>
            </c:numRef>
          </c:val>
          <c:smooth val="0"/>
        </c:ser>
        <c:ser>
          <c:idx val="2"/>
          <c:order val="2"/>
          <c:tx>
            <c:v>k = 3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Sheet2!$H$15:$H$20</c:f>
              <c:numCache>
                <c:formatCode>General</c:formatCode>
                <c:ptCount val="6"/>
                <c:pt idx="0">
                  <c:v>2.95</c:v>
                </c:pt>
                <c:pt idx="1">
                  <c:v>25.8</c:v>
                </c:pt>
                <c:pt idx="2">
                  <c:v>94.96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0930136"/>
        <c:axId val="450921512"/>
      </c:lineChart>
      <c:catAx>
        <c:axId val="450930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921512"/>
        <c:crosses val="autoZero"/>
        <c:auto val="1"/>
        <c:lblAlgn val="ctr"/>
        <c:lblOffset val="100"/>
        <c:noMultiLvlLbl val="0"/>
      </c:catAx>
      <c:valAx>
        <c:axId val="450921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 Occpnacy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930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 = 100,000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k =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Sheet2!$C$21:$C$26</c:f>
              <c:numCache>
                <c:formatCode>_(* #,##0_);_(* \(#,##0\);_(* "-"??_);_(@_)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cat>
          <c:val>
            <c:numRef>
              <c:f>Sheet2!$D$21:$D$26</c:f>
              <c:numCache>
                <c:formatCode>General</c:formatCode>
                <c:ptCount val="6"/>
                <c:pt idx="0">
                  <c:v>0.1</c:v>
                </c:pt>
                <c:pt idx="1">
                  <c:v>0.99099999999999999</c:v>
                </c:pt>
                <c:pt idx="2">
                  <c:v>9.4960000000000004</c:v>
                </c:pt>
                <c:pt idx="3">
                  <c:v>63.316000000000003</c:v>
                </c:pt>
                <c:pt idx="4">
                  <c:v>99.99</c:v>
                </c:pt>
                <c:pt idx="5">
                  <c:v>100</c:v>
                </c:pt>
              </c:numCache>
            </c:numRef>
          </c:val>
          <c:smooth val="0"/>
        </c:ser>
        <c:ser>
          <c:idx val="1"/>
          <c:order val="1"/>
          <c:tx>
            <c:v>k = 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Sheet2!$D$27:$D$32</c:f>
              <c:numCache>
                <c:formatCode>General</c:formatCode>
                <c:ptCount val="6"/>
                <c:pt idx="0">
                  <c:v>0.2</c:v>
                </c:pt>
                <c:pt idx="1">
                  <c:v>1.97</c:v>
                </c:pt>
                <c:pt idx="2">
                  <c:v>18.172999999999998</c:v>
                </c:pt>
                <c:pt idx="3">
                  <c:v>86.483000000000004</c:v>
                </c:pt>
                <c:pt idx="4">
                  <c:v>100</c:v>
                </c:pt>
                <c:pt idx="5">
                  <c:v>100</c:v>
                </c:pt>
              </c:numCache>
            </c:numRef>
          </c:val>
          <c:smooth val="0"/>
        </c:ser>
        <c:ser>
          <c:idx val="2"/>
          <c:order val="2"/>
          <c:tx>
            <c:v>k = 3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Sheet2!$D$33:$D$38</c:f>
              <c:numCache>
                <c:formatCode>General</c:formatCode>
                <c:ptCount val="6"/>
                <c:pt idx="0">
                  <c:v>0.3</c:v>
                </c:pt>
                <c:pt idx="1">
                  <c:v>2.95</c:v>
                </c:pt>
                <c:pt idx="2">
                  <c:v>26</c:v>
                </c:pt>
                <c:pt idx="3">
                  <c:v>95</c:v>
                </c:pt>
                <c:pt idx="4">
                  <c:v>100</c:v>
                </c:pt>
                <c:pt idx="5">
                  <c:v>100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0923864"/>
        <c:axId val="450926216"/>
      </c:lineChart>
      <c:catAx>
        <c:axId val="450923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926216"/>
        <c:crosses val="autoZero"/>
        <c:auto val="1"/>
        <c:lblAlgn val="ctr"/>
        <c:lblOffset val="100"/>
        <c:noMultiLvlLbl val="0"/>
      </c:catAx>
      <c:valAx>
        <c:axId val="450926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</a:t>
                </a:r>
                <a:r>
                  <a:rPr lang="en-US" baseline="0"/>
                  <a:t> Occupancy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923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 = 1,000,000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k =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Sheet2!$G$21:$G$26</c:f>
              <c:numCache>
                <c:formatCode>_(* #,##0_);_(* \(#,##0\);_(* "-"??_);_(@_)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cat>
          <c:val>
            <c:numRef>
              <c:f>Sheet2!$H$21:$H$26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0.99</c:v>
                </c:pt>
                <c:pt idx="3">
                  <c:v>9.5</c:v>
                </c:pt>
                <c:pt idx="4">
                  <c:v>63</c:v>
                </c:pt>
                <c:pt idx="5">
                  <c:v>99.99</c:v>
                </c:pt>
              </c:numCache>
            </c:numRef>
          </c:val>
          <c:smooth val="0"/>
        </c:ser>
        <c:ser>
          <c:idx val="1"/>
          <c:order val="1"/>
          <c:tx>
            <c:v>k = 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Sheet2!$H$27:$H$32</c:f>
              <c:numCache>
                <c:formatCode>General</c:formatCode>
                <c:ptCount val="6"/>
                <c:pt idx="0">
                  <c:v>0</c:v>
                </c:pt>
                <c:pt idx="1">
                  <c:v>0.19</c:v>
                </c:pt>
                <c:pt idx="2">
                  <c:v>1.97</c:v>
                </c:pt>
                <c:pt idx="3">
                  <c:v>18.11</c:v>
                </c:pt>
                <c:pt idx="4">
                  <c:v>86.2</c:v>
                </c:pt>
                <c:pt idx="5">
                  <c:v>100</c:v>
                </c:pt>
              </c:numCache>
            </c:numRef>
          </c:val>
          <c:smooth val="0"/>
        </c:ser>
        <c:ser>
          <c:idx val="2"/>
          <c:order val="2"/>
          <c:tx>
            <c:v>k = 3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Sheet2!$H$33:$H$38</c:f>
              <c:numCache>
                <c:formatCode>General</c:formatCode>
                <c:ptCount val="6"/>
                <c:pt idx="0">
                  <c:v>0</c:v>
                </c:pt>
                <c:pt idx="1">
                  <c:v>0.28999999999999998</c:v>
                </c:pt>
                <c:pt idx="2">
                  <c:v>2.9</c:v>
                </c:pt>
                <c:pt idx="3">
                  <c:v>25.9</c:v>
                </c:pt>
                <c:pt idx="4">
                  <c:v>94.92</c:v>
                </c:pt>
                <c:pt idx="5">
                  <c:v>100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0940720"/>
        <c:axId val="450945032"/>
      </c:lineChart>
      <c:catAx>
        <c:axId val="450940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945032"/>
        <c:crosses val="autoZero"/>
        <c:auto val="1"/>
        <c:lblAlgn val="ctr"/>
        <c:lblOffset val="100"/>
        <c:noMultiLvlLbl val="0"/>
      </c:catAx>
      <c:valAx>
        <c:axId val="450945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 Occupancy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940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 = 8,000,000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k =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Sheet2!$K$3:$K$8</c:f>
              <c:numCache>
                <c:formatCode>_(* #,##0_);_(* \(#,##0\);_(* "-"??_);_(@_)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cat>
          <c:val>
            <c:numRef>
              <c:f>Sheet2!$L$3:$L$8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0.12</c:v>
                </c:pt>
                <c:pt idx="3">
                  <c:v>1.23</c:v>
                </c:pt>
                <c:pt idx="4">
                  <c:v>10.9</c:v>
                </c:pt>
                <c:pt idx="5">
                  <c:v>44.39</c:v>
                </c:pt>
              </c:numCache>
            </c:numRef>
          </c:val>
          <c:smooth val="0"/>
        </c:ser>
        <c:ser>
          <c:idx val="1"/>
          <c:order val="1"/>
          <c:tx>
            <c:v>k = 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Sheet2!$K$3:$K$8</c:f>
              <c:numCache>
                <c:formatCode>_(* #,##0_);_(* \(#,##0\);_(* "-"??_);_(@_)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cat>
          <c:val>
            <c:numRef>
              <c:f>Sheet2!$L$9:$L$14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0.25</c:v>
                </c:pt>
                <c:pt idx="3">
                  <c:v>2.4500000000000002</c:v>
                </c:pt>
                <c:pt idx="4">
                  <c:v>20.63</c:v>
                </c:pt>
                <c:pt idx="5">
                  <c:v>69.69</c:v>
                </c:pt>
              </c:numCache>
            </c:numRef>
          </c:val>
          <c:smooth val="0"/>
        </c:ser>
        <c:ser>
          <c:idx val="2"/>
          <c:order val="2"/>
          <c:tx>
            <c:v>k = 3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Sheet2!$K$3:$K$8</c:f>
              <c:numCache>
                <c:formatCode>_(* #,##0_);_(* \(#,##0\);_(* "-"??_);_(@_)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cat>
          <c:val>
            <c:numRef>
              <c:f>Sheet2!$L$15:$L$20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0.37</c:v>
                </c:pt>
                <c:pt idx="3">
                  <c:v>3.67</c:v>
                </c:pt>
                <c:pt idx="4">
                  <c:v>29.34</c:v>
                </c:pt>
                <c:pt idx="5">
                  <c:v>83.79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0938760"/>
        <c:axId val="450939544"/>
      </c:lineChart>
      <c:catAx>
        <c:axId val="450938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  <a:r>
                  <a:rPr lang="en-US" baseline="0"/>
                  <a:t> of 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939544"/>
        <c:crosses val="autoZero"/>
        <c:auto val="1"/>
        <c:lblAlgn val="ctr"/>
        <c:lblOffset val="100"/>
        <c:noMultiLvlLbl val="0"/>
      </c:catAx>
      <c:valAx>
        <c:axId val="450939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</a:t>
                </a:r>
                <a:r>
                  <a:rPr lang="en-US" baseline="0"/>
                  <a:t> Occupancy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938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Part 3 | n = 4</a:t>
            </a:r>
            <a:r>
              <a:rPr lang="en-US" baseline="0"/>
              <a:t> million | Bloom Filter Lookups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k = 1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Sheet3!$E$2:$G$2</c:f>
              <c:strCache>
                <c:ptCount val="3"/>
                <c:pt idx="0">
                  <c:v>m = 2 mil</c:v>
                </c:pt>
                <c:pt idx="1">
                  <c:v>m = 4 mil</c:v>
                </c:pt>
                <c:pt idx="2">
                  <c:v>m = 8 mil</c:v>
                </c:pt>
              </c:strCache>
            </c:strRef>
          </c:cat>
          <c:val>
            <c:numRef>
              <c:f>(Sheet3!$C$3,Sheet3!$C$6,Sheet3!$C$9)</c:f>
              <c:numCache>
                <c:formatCode>General</c:formatCode>
                <c:ptCount val="3"/>
                <c:pt idx="0">
                  <c:v>17.670000000000002</c:v>
                </c:pt>
                <c:pt idx="1">
                  <c:v>22.63</c:v>
                </c:pt>
                <c:pt idx="2">
                  <c:v>38.159999999999997</c:v>
                </c:pt>
              </c:numCache>
            </c:numRef>
          </c:val>
        </c:ser>
        <c:ser>
          <c:idx val="1"/>
          <c:order val="1"/>
          <c:tx>
            <c:v>k = 2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Sheet3!$E$2:$G$2</c:f>
              <c:strCache>
                <c:ptCount val="3"/>
                <c:pt idx="0">
                  <c:v>m = 2 mil</c:v>
                </c:pt>
                <c:pt idx="1">
                  <c:v>m = 4 mil</c:v>
                </c:pt>
                <c:pt idx="2">
                  <c:v>m = 8 mil</c:v>
                </c:pt>
              </c:strCache>
            </c:strRef>
          </c:cat>
          <c:val>
            <c:numRef>
              <c:f>(Sheet3!$C$4,Sheet3!$C$7,Sheet3!$C$10)</c:f>
              <c:numCache>
                <c:formatCode>General</c:formatCode>
                <c:ptCount val="3"/>
                <c:pt idx="0">
                  <c:v>1</c:v>
                </c:pt>
                <c:pt idx="1">
                  <c:v>2.2599999999999998</c:v>
                </c:pt>
                <c:pt idx="2">
                  <c:v>12.2</c:v>
                </c:pt>
              </c:numCache>
            </c:numRef>
          </c:val>
        </c:ser>
        <c:ser>
          <c:idx val="2"/>
          <c:order val="2"/>
          <c:tx>
            <c:v>k = 3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Sheet3!$E$2:$G$2</c:f>
              <c:strCache>
                <c:ptCount val="3"/>
                <c:pt idx="0">
                  <c:v>m = 2 mil</c:v>
                </c:pt>
                <c:pt idx="1">
                  <c:v>m = 4 mil</c:v>
                </c:pt>
                <c:pt idx="2">
                  <c:v>m = 8 mil</c:v>
                </c:pt>
              </c:strCache>
            </c:strRef>
          </c:cat>
          <c:val>
            <c:numRef>
              <c:f>(Sheet3!$C$5,Sheet3!$C$8,Sheet3!$C$11)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1.47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0936016"/>
        <c:axId val="450937192"/>
      </c:barChart>
      <c:catAx>
        <c:axId val="450936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937192"/>
        <c:crosses val="autoZero"/>
        <c:auto val="1"/>
        <c:lblAlgn val="ctr"/>
        <c:lblOffset val="100"/>
        <c:noMultiLvlLbl val="0"/>
      </c:catAx>
      <c:valAx>
        <c:axId val="450937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</a:t>
                </a:r>
                <a:r>
                  <a:rPr lang="en-US" baseline="0"/>
                  <a:t> Saved Lookups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936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8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James Stell</vt:lpstr>
    </vt:vector>
  </TitlesOfParts>
  <Company/>
  <LinksUpToDate>false</LinksUpToDate>
  <CharactersWithSpaces>6215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Stell</dc:title>
  <dc:subject/>
  <dc:creator>Brad Stell</dc:creator>
  <cp:keywords/>
  <dc:description/>
  <cp:lastModifiedBy>Brad Stell</cp:lastModifiedBy>
  <cp:revision>64</cp:revision>
  <dcterms:created xsi:type="dcterms:W3CDTF">2015-11-14T15:44:00Z</dcterms:created>
  <dcterms:modified xsi:type="dcterms:W3CDTF">2015-11-20T19:31:00Z</dcterms:modified>
</cp:coreProperties>
</file>