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UNIVERSIDAD DE LAS FUERZAS ARMADAS ESPE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4010025</wp:posOffset>
            </wp:positionH>
            <wp:positionV relativeFrom="paragraph">
              <wp:posOffset>114300</wp:posOffset>
            </wp:positionV>
            <wp:extent cx="1490663" cy="1466225"/>
            <wp:effectExtent b="0" l="0" r="0" t="0"/>
            <wp:wrapSquare wrapText="bothSides" distB="114300" distT="114300" distL="114300" distR="11430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90663" cy="14662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¨Práctica N°2 de Laboratorio¨</w:t>
      </w:r>
    </w:p>
    <w:p w:rsidR="00000000" w:rsidDel="00000000" w:rsidP="00000000" w:rsidRDefault="00000000" w:rsidRPr="00000000" w14:paraId="00000003">
      <w:pPr>
        <w:jc w:val="center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¨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Fundamentos de Circuitos Eléctricos¨</w:t>
      </w:r>
    </w:p>
    <w:p w:rsidR="00000000" w:rsidDel="00000000" w:rsidP="00000000" w:rsidRDefault="00000000" w:rsidRPr="00000000" w14:paraId="00000004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Integrantes: Jerez Bradd; Sangoquiza Andrés, Zambrano Jonathan</w:t>
      </w:r>
    </w:p>
    <w:p w:rsidR="00000000" w:rsidDel="00000000" w:rsidP="00000000" w:rsidRDefault="00000000" w:rsidRPr="00000000" w14:paraId="0000000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NRC: 8702</w:t>
      </w:r>
    </w:p>
    <w:p w:rsidR="00000000" w:rsidDel="00000000" w:rsidP="00000000" w:rsidRDefault="00000000" w:rsidRPr="00000000" w14:paraId="0000000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Fecha: 2020 - 06 - 09</w:t>
      </w:r>
    </w:p>
    <w:p w:rsidR="00000000" w:rsidDel="00000000" w:rsidP="00000000" w:rsidRDefault="00000000" w:rsidRPr="00000000" w14:paraId="0000000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PLANTEAMIENTO DEL PROBLEMA</w:t>
      </w:r>
    </w:p>
    <w:p w:rsidR="00000000" w:rsidDel="00000000" w:rsidP="00000000" w:rsidRDefault="00000000" w:rsidRPr="00000000" w14:paraId="0000000B">
      <w:pPr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4292e"/>
          <w:sz w:val="24"/>
          <w:szCs w:val="24"/>
          <w:highlight w:val="white"/>
          <w:rtl w:val="0"/>
        </w:rPr>
        <w:t xml:space="preserve">¿Qué y cuántos valores de corrientes se encontrarán en el análisis de esta malla?¿Será necesario aplicar los conceptos de Ley de Tensión de Kirchhoff (LTK), las Leyes de corriente de Kirchhoff (LCK) y ley de Ohm, para un correcto análisis esta malla?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OBJETIVOS</w:t>
      </w:r>
    </w:p>
    <w:p w:rsidR="00000000" w:rsidDel="00000000" w:rsidP="00000000" w:rsidRDefault="00000000" w:rsidRPr="00000000" w14:paraId="0000000F">
      <w:pPr>
        <w:shd w:fill="ffffff" w:val="clear"/>
        <w:spacing w:after="240" w:lineRule="auto"/>
        <w:jc w:val="both"/>
        <w:rPr>
          <w:rFonts w:ascii="Times New Roman" w:cs="Times New Roman" w:eastAsia="Times New Roman" w:hAnsi="Times New Roman"/>
          <w:color w:val="24292e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4292e"/>
          <w:sz w:val="24"/>
          <w:szCs w:val="24"/>
          <w:rtl w:val="0"/>
        </w:rPr>
        <w:t xml:space="preserve">Generales:</w:t>
      </w:r>
    </w:p>
    <w:p w:rsidR="00000000" w:rsidDel="00000000" w:rsidP="00000000" w:rsidRDefault="00000000" w:rsidRPr="00000000" w14:paraId="00000010">
      <w:pPr>
        <w:numPr>
          <w:ilvl w:val="0"/>
          <w:numId w:val="2"/>
        </w:numPr>
        <w:shd w:fill="ffffff" w:val="clear"/>
        <w:spacing w:after="24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24292e"/>
          <w:sz w:val="24"/>
          <w:szCs w:val="24"/>
          <w:rtl w:val="0"/>
        </w:rPr>
        <w:t xml:space="preserve">Comprobar experimentalmente el análisis de mallas y poder establecer una relación entre el uso de la Ley de Ohm y las Leyes de Kirchhoff con ésta.</w:t>
      </w:r>
    </w:p>
    <w:p w:rsidR="00000000" w:rsidDel="00000000" w:rsidP="00000000" w:rsidRDefault="00000000" w:rsidRPr="00000000" w14:paraId="00000011">
      <w:pPr>
        <w:shd w:fill="ffffff" w:val="clear"/>
        <w:spacing w:after="240" w:lineRule="auto"/>
        <w:jc w:val="both"/>
        <w:rPr>
          <w:rFonts w:ascii="Times New Roman" w:cs="Times New Roman" w:eastAsia="Times New Roman" w:hAnsi="Times New Roman"/>
          <w:color w:val="24292e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4292e"/>
          <w:sz w:val="24"/>
          <w:szCs w:val="24"/>
          <w:rtl w:val="0"/>
        </w:rPr>
        <w:t xml:space="preserve">Específicos:</w:t>
      </w:r>
    </w:p>
    <w:p w:rsidR="00000000" w:rsidDel="00000000" w:rsidP="00000000" w:rsidRDefault="00000000" w:rsidRPr="00000000" w14:paraId="00000012">
      <w:pPr>
        <w:numPr>
          <w:ilvl w:val="0"/>
          <w:numId w:val="3"/>
        </w:numPr>
        <w:shd w:fill="ffffff" w:val="clear"/>
        <w:spacing w:after="0" w:afterAutospacing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24292e"/>
          <w:sz w:val="24"/>
          <w:szCs w:val="24"/>
          <w:rtl w:val="0"/>
        </w:rPr>
        <w:t xml:space="preserve">Entender las conexiones a realizar y comprender la forma de usar la plataforma Tinkercad y sus herramientas.</w:t>
      </w:r>
    </w:p>
    <w:p w:rsidR="00000000" w:rsidDel="00000000" w:rsidP="00000000" w:rsidRDefault="00000000" w:rsidRPr="00000000" w14:paraId="00000013">
      <w:pPr>
        <w:numPr>
          <w:ilvl w:val="0"/>
          <w:numId w:val="3"/>
        </w:numPr>
        <w:shd w:fill="ffffff" w:val="clear"/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24292e"/>
          <w:sz w:val="24"/>
          <w:szCs w:val="24"/>
          <w:rtl w:val="0"/>
        </w:rPr>
        <w:t xml:space="preserve">Identificar la forma correcta de medición de corriente y voltaje con el multímetro digital para circuitos resistivos, y los analizados por mayas.</w:t>
      </w:r>
    </w:p>
    <w:p w:rsidR="00000000" w:rsidDel="00000000" w:rsidP="00000000" w:rsidRDefault="00000000" w:rsidRPr="00000000" w14:paraId="00000014">
      <w:pPr>
        <w:numPr>
          <w:ilvl w:val="0"/>
          <w:numId w:val="3"/>
        </w:numPr>
        <w:shd w:fill="ffffff" w:val="clear"/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24292e"/>
          <w:sz w:val="24"/>
          <w:szCs w:val="24"/>
          <w:rtl w:val="0"/>
        </w:rPr>
        <w:t xml:space="preserve">Comparar los cálculos teóricos con los medidos de corriente y de resistencias, y obtener el margen de error.</w:t>
      </w:r>
    </w:p>
    <w:p w:rsidR="00000000" w:rsidDel="00000000" w:rsidP="00000000" w:rsidRDefault="00000000" w:rsidRPr="00000000" w14:paraId="00000015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16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MARCO TEÓRICO</w:t>
      </w:r>
    </w:p>
    <w:p w:rsidR="00000000" w:rsidDel="00000000" w:rsidP="00000000" w:rsidRDefault="00000000" w:rsidRPr="00000000" w14:paraId="00000017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4292e"/>
          <w:sz w:val="24"/>
          <w:szCs w:val="24"/>
          <w:highlight w:val="white"/>
          <w:rtl w:val="0"/>
        </w:rPr>
        <w:t xml:space="preserve">Para el análisis de mallas, se debe tener muy en cuenta cada uno de sus componentes y su respuesta al operar con los mismos. Por lo tanto, es necesario identificar la posición y función de cada componente en el circuito. Los componentes operarán con el resto de elementos conforme a su función, ya sea como distribuidor de voltaje, corriente, un resistor, etc. Cada uno de ellos, tendrá una representación, puede ser, analíticamente, digitalmente o prácticamente en un sistema¨internacional¨ Para evitar confusiones en su desarrollo y operación. En el análisis de ¨resistores¨ se debe respetar la posición de un resistor respecto al otro, ya que estos, pueden encontrarse en serie o paralelo, de modo que su para su análisis influirá significativamente en la detección de voltaje, corriente o cualquier componente relacionado.  Para los elementos ¨resistores¨, identificará si se encuentran en paralelo o en serie, puesto que al analizar un circuito se lo puede realizar mediante el análisis por nodos o por tensión.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DIAGRAMAS</w:t>
      </w:r>
    </w:p>
    <w:p w:rsidR="00000000" w:rsidDel="00000000" w:rsidP="00000000" w:rsidRDefault="00000000" w:rsidRPr="00000000" w14:paraId="0000001C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4050" cy="3225800"/>
            <wp:effectExtent b="0" l="0" r="0" t="0"/>
            <wp:docPr descr="Diagrama.png" id="5" name="image10.png"/>
            <a:graphic>
              <a:graphicData uri="http://schemas.openxmlformats.org/drawingml/2006/picture">
                <pic:pic>
                  <pic:nvPicPr>
                    <pic:cNvPr descr="Diagrama.png" id="0" name="image1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LISTA DE COMPONENTES:</w:t>
      </w:r>
    </w:p>
    <w:p w:rsidR="00000000" w:rsidDel="00000000" w:rsidP="00000000" w:rsidRDefault="00000000" w:rsidRPr="00000000" w14:paraId="00000021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shd w:fill="ffffff" w:val="clear"/>
        <w:spacing w:after="0" w:afterAutospacing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24292e"/>
          <w:sz w:val="24"/>
          <w:szCs w:val="24"/>
          <w:rtl w:val="0"/>
        </w:rPr>
        <w:t xml:space="preserve">1 Resistor R1 820ohm</w:t>
      </w:r>
    </w:p>
    <w:p w:rsidR="00000000" w:rsidDel="00000000" w:rsidP="00000000" w:rsidRDefault="00000000" w:rsidRPr="00000000" w14:paraId="00000023">
      <w:pPr>
        <w:numPr>
          <w:ilvl w:val="0"/>
          <w:numId w:val="1"/>
        </w:numPr>
        <w:shd w:fill="ffffff" w:val="clear"/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24292e"/>
          <w:sz w:val="24"/>
          <w:szCs w:val="24"/>
          <w:rtl w:val="0"/>
        </w:rPr>
        <w:t xml:space="preserve">1 Resistor R2 1.2kohm</w:t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shd w:fill="ffffff" w:val="clear"/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24292e"/>
          <w:sz w:val="24"/>
          <w:szCs w:val="24"/>
          <w:rtl w:val="0"/>
        </w:rPr>
        <w:t xml:space="preserve">1 Resistor R3 1kohm</w:t>
      </w:r>
    </w:p>
    <w:p w:rsidR="00000000" w:rsidDel="00000000" w:rsidP="00000000" w:rsidRDefault="00000000" w:rsidRPr="00000000" w14:paraId="00000025">
      <w:pPr>
        <w:numPr>
          <w:ilvl w:val="0"/>
          <w:numId w:val="1"/>
        </w:numPr>
        <w:shd w:fill="ffffff" w:val="clear"/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24292e"/>
          <w:sz w:val="24"/>
          <w:szCs w:val="24"/>
          <w:rtl w:val="0"/>
        </w:rPr>
        <w:t xml:space="preserve">1 Resistor R4 390ohm</w:t>
      </w:r>
    </w:p>
    <w:p w:rsidR="00000000" w:rsidDel="00000000" w:rsidP="00000000" w:rsidRDefault="00000000" w:rsidRPr="00000000" w14:paraId="00000026">
      <w:pPr>
        <w:numPr>
          <w:ilvl w:val="0"/>
          <w:numId w:val="1"/>
        </w:numPr>
        <w:shd w:fill="ffffff" w:val="clear"/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24292e"/>
          <w:sz w:val="24"/>
          <w:szCs w:val="24"/>
          <w:rtl w:val="0"/>
        </w:rPr>
        <w:t xml:space="preserve">1 Resistor R5 2.2kohm</w:t>
      </w:r>
    </w:p>
    <w:p w:rsidR="00000000" w:rsidDel="00000000" w:rsidP="00000000" w:rsidRDefault="00000000" w:rsidRPr="00000000" w14:paraId="00000027">
      <w:pPr>
        <w:numPr>
          <w:ilvl w:val="0"/>
          <w:numId w:val="1"/>
        </w:numPr>
        <w:shd w:fill="ffffff" w:val="clear"/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24292e"/>
          <w:sz w:val="24"/>
          <w:szCs w:val="24"/>
          <w:rtl w:val="0"/>
        </w:rPr>
        <w:t xml:space="preserve">2 Fuentes de voltaje V1 y V2 18v y 5v.</w:t>
      </w:r>
    </w:p>
    <w:p w:rsidR="00000000" w:rsidDel="00000000" w:rsidP="00000000" w:rsidRDefault="00000000" w:rsidRPr="00000000" w14:paraId="00000028">
      <w:pPr>
        <w:numPr>
          <w:ilvl w:val="0"/>
          <w:numId w:val="1"/>
        </w:numPr>
        <w:shd w:fill="ffffff" w:val="clear"/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24292e"/>
          <w:sz w:val="24"/>
          <w:szCs w:val="24"/>
          <w:rtl w:val="0"/>
        </w:rPr>
        <w:t xml:space="preserve">n Multimetros</w:t>
      </w:r>
    </w:p>
    <w:p w:rsidR="00000000" w:rsidDel="00000000" w:rsidP="00000000" w:rsidRDefault="00000000" w:rsidRPr="00000000" w14:paraId="00000029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  <w:tab/>
      </w:r>
    </w:p>
    <w:p w:rsidR="00000000" w:rsidDel="00000000" w:rsidP="00000000" w:rsidRDefault="00000000" w:rsidRPr="00000000" w14:paraId="0000002A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DESCRIPCIÓN DE PRERREQUISITOS Y CONFIGURACIÓN</w:t>
        <w:tab/>
      </w:r>
    </w:p>
    <w:p w:rsidR="00000000" w:rsidDel="00000000" w:rsidP="00000000" w:rsidRDefault="00000000" w:rsidRPr="00000000" w14:paraId="0000002B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TINKERCAD</w:t>
      </w:r>
    </w:p>
    <w:p w:rsidR="00000000" w:rsidDel="00000000" w:rsidP="00000000" w:rsidRDefault="00000000" w:rsidRPr="00000000" w14:paraId="0000002D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Es un software de simulación de circuitos electrónicos el cual nos permite generar diferentes conexiones en un protoboard, lo cual a su vez sería un sistema eléctrico por el cual nosotros calcularemos sus valores de entrada o salida y los fenomenos electricos que se manifiestan en el circuito.</w:t>
      </w:r>
    </w:p>
    <w:p w:rsidR="00000000" w:rsidDel="00000000" w:rsidP="00000000" w:rsidRDefault="00000000" w:rsidRPr="00000000" w14:paraId="0000002E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02F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CONCLUSIONES</w:t>
      </w:r>
    </w:p>
    <w:p w:rsidR="00000000" w:rsidDel="00000000" w:rsidP="00000000" w:rsidRDefault="00000000" w:rsidRPr="00000000" w14:paraId="00000031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4292e"/>
          <w:sz w:val="24"/>
          <w:szCs w:val="24"/>
          <w:highlight w:val="white"/>
          <w:rtl w:val="0"/>
        </w:rPr>
        <w:t xml:space="preserve">Finalizada la práctica, se concluye que implementar una resistencia diferente de su posición (sea en serie o paralelo) en el circuito puede llegar a alterar los valores de corriente de todos los componentes, además de su utilidad en la misma. Por lo que los resistores de 820 Ohm, 1.2kOhm, 390Ohm, 1kOhm y 2.2kOhm no tendrían los valores de corriente de 11.5mA, 2.85mA, 488μA, 8.61mA, y 2.36mA respectivamente.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RECOMENDACIONES</w:t>
      </w:r>
    </w:p>
    <w:p w:rsidR="00000000" w:rsidDel="00000000" w:rsidP="00000000" w:rsidRDefault="00000000" w:rsidRPr="00000000" w14:paraId="00000035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4292e"/>
          <w:sz w:val="24"/>
          <w:szCs w:val="24"/>
          <w:highlight w:val="white"/>
          <w:rtl w:val="0"/>
        </w:rPr>
        <w:t xml:space="preserve">Se recomienda que para un correcto análisis de la malla, se tenga muy en cuenta en valor de cada resistencia (prefijos) y su posición con respecto a los demás componentes, además de identificar la ¨división de secciones¨ por nodos, por lo que puede influir notoriamente el determinar si uno o más componentes se enlazan por un mismo nodo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37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CRONOGRAMA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4050" cy="1143000"/>
            <wp:effectExtent b="0" l="0" r="0" t="0"/>
            <wp:docPr id="6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14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BIBLIOGRAFÍA</w:t>
      </w:r>
    </w:p>
    <w:p w:rsidR="00000000" w:rsidDel="00000000" w:rsidP="00000000" w:rsidRDefault="00000000" w:rsidRPr="00000000" w14:paraId="0000003B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Sadiku Matthew N. (2006). Fundamentos de Circuitos Eléctricos. McGraw-Hill Interamericana. México D. F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ANEXOS:</w:t>
      </w:r>
    </w:p>
    <w:p w:rsidR="00000000" w:rsidDel="00000000" w:rsidP="00000000" w:rsidRDefault="00000000" w:rsidRPr="00000000" w14:paraId="0000003F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jc w:val="both"/>
        <w:rPr>
          <w:rFonts w:ascii="Times New Roman" w:cs="Times New Roman" w:eastAsia="Times New Roman" w:hAnsi="Times New Roman"/>
          <w:b w:val="1"/>
          <w:color w:val="24292e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4292e"/>
          <w:sz w:val="24"/>
          <w:szCs w:val="24"/>
          <w:highlight w:val="white"/>
          <w:rtl w:val="0"/>
        </w:rPr>
        <w:t xml:space="preserve">Implementos utilizados:</w:t>
      </w:r>
    </w:p>
    <w:p w:rsidR="00000000" w:rsidDel="00000000" w:rsidP="00000000" w:rsidRDefault="00000000" w:rsidRPr="00000000" w14:paraId="00000041">
      <w:pPr>
        <w:jc w:val="both"/>
        <w:rPr>
          <w:rFonts w:ascii="Times New Roman" w:cs="Times New Roman" w:eastAsia="Times New Roman" w:hAnsi="Times New Roman"/>
          <w:b w:val="1"/>
          <w:color w:val="24292e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4050" cy="2328863"/>
            <wp:effectExtent b="0" l="0" r="0" t="0"/>
            <wp:docPr id="10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3288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jc w:val="left"/>
        <w:rPr>
          <w:rFonts w:ascii="Times New Roman" w:cs="Times New Roman" w:eastAsia="Times New Roman" w:hAnsi="Times New Roman"/>
          <w:color w:val="24292e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4292e"/>
          <w:sz w:val="24"/>
          <w:szCs w:val="24"/>
          <w:highlight w:val="white"/>
          <w:rtl w:val="0"/>
        </w:rPr>
        <w:t xml:space="preserve">Implemente el circuito que se presenta en la figura 2.1</w:t>
      </w:r>
    </w:p>
    <w:p w:rsidR="00000000" w:rsidDel="00000000" w:rsidP="00000000" w:rsidRDefault="00000000" w:rsidRPr="00000000" w14:paraId="00000049">
      <w:pPr>
        <w:jc w:val="left"/>
        <w:rPr>
          <w:rFonts w:ascii="Times New Roman" w:cs="Times New Roman" w:eastAsia="Times New Roman" w:hAnsi="Times New Roman"/>
          <w:color w:val="24292e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4292e"/>
          <w:sz w:val="24"/>
          <w:szCs w:val="24"/>
          <w:highlight w:val="white"/>
        </w:rPr>
        <w:drawing>
          <wp:inline distB="114300" distT="114300" distL="114300" distR="114300">
            <wp:extent cx="5734050" cy="23241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32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hd w:fill="ffffff" w:val="clear"/>
        <w:spacing w:after="240" w:lineRule="auto"/>
        <w:rPr>
          <w:rFonts w:ascii="Times New Roman" w:cs="Times New Roman" w:eastAsia="Times New Roman" w:hAnsi="Times New Roman"/>
          <w:color w:val="24292e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4292e"/>
          <w:sz w:val="24"/>
          <w:szCs w:val="24"/>
          <w:highlight w:val="white"/>
          <w:rtl w:val="0"/>
        </w:rPr>
        <w:t xml:space="preserve">Mida cada una de las corrientes de malla y anote los resultados en la tabla 2.1.</w:t>
      </w:r>
    </w:p>
    <w:p w:rsidR="00000000" w:rsidDel="00000000" w:rsidP="00000000" w:rsidRDefault="00000000" w:rsidRPr="00000000" w14:paraId="0000004B">
      <w:pPr>
        <w:shd w:fill="ffffff" w:val="clear"/>
        <w:spacing w:after="240" w:lineRule="auto"/>
        <w:rPr>
          <w:rFonts w:ascii="Times New Roman" w:cs="Times New Roman" w:eastAsia="Times New Roman" w:hAnsi="Times New Roman"/>
          <w:color w:val="24292e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4292e"/>
          <w:sz w:val="24"/>
          <w:szCs w:val="24"/>
          <w:highlight w:val="white"/>
          <w:rtl w:val="0"/>
        </w:rPr>
        <w:t xml:space="preserve">Compare los valores de la tabla 2.1 y realice sus conclusiones.</w:t>
      </w:r>
    </w:p>
    <w:p w:rsidR="00000000" w:rsidDel="00000000" w:rsidP="00000000" w:rsidRDefault="00000000" w:rsidRPr="00000000" w14:paraId="0000004C">
      <w:pPr>
        <w:shd w:fill="ffffff" w:val="clear"/>
        <w:spacing w:after="240" w:lineRule="auto"/>
        <w:rPr>
          <w:rFonts w:ascii="Times New Roman" w:cs="Times New Roman" w:eastAsia="Times New Roman" w:hAnsi="Times New Roman"/>
          <w:color w:val="24292e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4292e"/>
          <w:sz w:val="24"/>
          <w:szCs w:val="24"/>
          <w:highlight w:val="white"/>
          <w:rtl w:val="0"/>
        </w:rPr>
        <w:t xml:space="preserve">Tabla 2.1. Resultados obtenidos para el circuito de la figura 2.1.</w:t>
      </w:r>
    </w:p>
    <w:p w:rsidR="00000000" w:rsidDel="00000000" w:rsidP="00000000" w:rsidRDefault="00000000" w:rsidRPr="00000000" w14:paraId="0000004D">
      <w:pPr>
        <w:jc w:val="left"/>
        <w:rPr>
          <w:rFonts w:ascii="Times New Roman" w:cs="Times New Roman" w:eastAsia="Times New Roman" w:hAnsi="Times New Roman"/>
          <w:color w:val="24292e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4292e"/>
          <w:sz w:val="24"/>
          <w:szCs w:val="24"/>
          <w:highlight w:val="white"/>
        </w:rPr>
        <w:drawing>
          <wp:inline distB="114300" distT="114300" distL="114300" distR="114300">
            <wp:extent cx="5734050" cy="1092200"/>
            <wp:effectExtent b="0" l="0" r="0" t="0"/>
            <wp:docPr id="3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09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jc w:val="left"/>
        <w:rPr>
          <w:rFonts w:ascii="Times New Roman" w:cs="Times New Roman" w:eastAsia="Times New Roman" w:hAnsi="Times New Roman"/>
          <w:color w:val="24292e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jc w:val="left"/>
        <w:rPr>
          <w:rFonts w:ascii="Times New Roman" w:cs="Times New Roman" w:eastAsia="Times New Roman" w:hAnsi="Times New Roman"/>
          <w:color w:val="24292e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4292e"/>
          <w:sz w:val="24"/>
          <w:szCs w:val="24"/>
          <w:highlight w:val="white"/>
          <w:rtl w:val="0"/>
        </w:rPr>
        <w:t xml:space="preserve">Simulación de los valores en Tinkercad:</w:t>
      </w:r>
    </w:p>
    <w:p w:rsidR="00000000" w:rsidDel="00000000" w:rsidP="00000000" w:rsidRDefault="00000000" w:rsidRPr="00000000" w14:paraId="00000050">
      <w:pPr>
        <w:jc w:val="left"/>
        <w:rPr>
          <w:rFonts w:ascii="Times New Roman" w:cs="Times New Roman" w:eastAsia="Times New Roman" w:hAnsi="Times New Roman"/>
          <w:color w:val="24292e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jc w:val="left"/>
        <w:rPr>
          <w:rFonts w:ascii="Times New Roman" w:cs="Times New Roman" w:eastAsia="Times New Roman" w:hAnsi="Times New Roman"/>
          <w:color w:val="24292e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4292e"/>
          <w:sz w:val="24"/>
          <w:szCs w:val="24"/>
          <w:highlight w:val="white"/>
        </w:rPr>
        <w:drawing>
          <wp:inline distB="114300" distT="114300" distL="114300" distR="114300">
            <wp:extent cx="4352925" cy="4772025"/>
            <wp:effectExtent b="0" l="0" r="0" t="0"/>
            <wp:docPr id="9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4772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jc w:val="left"/>
        <w:rPr>
          <w:rFonts w:ascii="Times New Roman" w:cs="Times New Roman" w:eastAsia="Times New Roman" w:hAnsi="Times New Roman"/>
          <w:color w:val="24292e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jc w:val="left"/>
        <w:rPr>
          <w:rFonts w:ascii="Times New Roman" w:cs="Times New Roman" w:eastAsia="Times New Roman" w:hAnsi="Times New Roman"/>
          <w:color w:val="24292e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4292e"/>
          <w:sz w:val="24"/>
          <w:szCs w:val="24"/>
          <w:highlight w:val="white"/>
          <w:rtl w:val="0"/>
        </w:rPr>
        <w:t xml:space="preserve">Cálculo de errores en las corrientes analizada y las obtenidas:</w:t>
      </w:r>
    </w:p>
    <w:p w:rsidR="00000000" w:rsidDel="00000000" w:rsidP="00000000" w:rsidRDefault="00000000" w:rsidRPr="00000000" w14:paraId="00000054">
      <w:pPr>
        <w:jc w:val="left"/>
        <w:rPr>
          <w:rFonts w:ascii="Times New Roman" w:cs="Times New Roman" w:eastAsia="Times New Roman" w:hAnsi="Times New Roman"/>
          <w:color w:val="24292e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jc w:val="left"/>
        <w:rPr>
          <w:rFonts w:ascii="Times New Roman" w:cs="Times New Roman" w:eastAsia="Times New Roman" w:hAnsi="Times New Roman"/>
          <w:color w:val="24292e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4292e"/>
          <w:sz w:val="24"/>
          <w:szCs w:val="24"/>
          <w:highlight w:val="white"/>
        </w:rPr>
        <w:drawing>
          <wp:inline distB="114300" distT="114300" distL="114300" distR="114300">
            <wp:extent cx="3552825" cy="2276475"/>
            <wp:effectExtent b="0" l="0" r="0" t="0"/>
            <wp:docPr id="7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2276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jc w:val="left"/>
        <w:rPr>
          <w:rFonts w:ascii="Times New Roman" w:cs="Times New Roman" w:eastAsia="Times New Roman" w:hAnsi="Times New Roman"/>
          <w:color w:val="24292e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jc w:val="left"/>
        <w:rPr>
          <w:rFonts w:ascii="Times New Roman" w:cs="Times New Roman" w:eastAsia="Times New Roman" w:hAnsi="Times New Roman"/>
          <w:color w:val="24292e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4292e"/>
          <w:sz w:val="24"/>
          <w:szCs w:val="24"/>
          <w:highlight w:val="white"/>
          <w:rtl w:val="0"/>
        </w:rPr>
        <w:t xml:space="preserve">Calculos analiticos:</w:t>
      </w:r>
    </w:p>
    <w:p w:rsidR="00000000" w:rsidDel="00000000" w:rsidP="00000000" w:rsidRDefault="00000000" w:rsidRPr="00000000" w14:paraId="00000058">
      <w:pPr>
        <w:jc w:val="left"/>
        <w:rPr>
          <w:rFonts w:ascii="Times New Roman" w:cs="Times New Roman" w:eastAsia="Times New Roman" w:hAnsi="Times New Roman"/>
          <w:color w:val="24292e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jc w:val="left"/>
        <w:rPr>
          <w:rFonts w:ascii="Times New Roman" w:cs="Times New Roman" w:eastAsia="Times New Roman" w:hAnsi="Times New Roman"/>
          <w:color w:val="24292e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4292e"/>
          <w:sz w:val="24"/>
          <w:szCs w:val="24"/>
          <w:highlight w:val="white"/>
        </w:rPr>
        <w:drawing>
          <wp:inline distB="114300" distT="114300" distL="114300" distR="114300">
            <wp:extent cx="5734050" cy="8102600"/>
            <wp:effectExtent b="0" l="0" r="0" t="0"/>
            <wp:docPr id="8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810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jc w:val="left"/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color w:val="24292e"/>
          <w:sz w:val="24"/>
          <w:szCs w:val="24"/>
          <w:highlight w:val="white"/>
        </w:rPr>
        <w:drawing>
          <wp:inline distB="114300" distT="114300" distL="114300" distR="114300">
            <wp:extent cx="5734050" cy="8102600"/>
            <wp:effectExtent b="0" l="0" r="0" t="0"/>
            <wp:docPr id="4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810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24292e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24292e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24292e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jpg"/><Relationship Id="rId10" Type="http://schemas.openxmlformats.org/officeDocument/2006/relationships/image" Target="media/image5.png"/><Relationship Id="rId13" Type="http://schemas.openxmlformats.org/officeDocument/2006/relationships/image" Target="media/image7.jpg"/><Relationship Id="rId12" Type="http://schemas.openxmlformats.org/officeDocument/2006/relationships/image" Target="media/image3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jpg"/><Relationship Id="rId15" Type="http://schemas.openxmlformats.org/officeDocument/2006/relationships/image" Target="media/image4.jpg"/><Relationship Id="rId14" Type="http://schemas.openxmlformats.org/officeDocument/2006/relationships/image" Target="media/image1.jpg"/><Relationship Id="rId5" Type="http://schemas.openxmlformats.org/officeDocument/2006/relationships/styles" Target="styles.xml"/><Relationship Id="rId6" Type="http://schemas.openxmlformats.org/officeDocument/2006/relationships/image" Target="media/image9.png"/><Relationship Id="rId7" Type="http://schemas.openxmlformats.org/officeDocument/2006/relationships/image" Target="media/image10.png"/><Relationship Id="rId8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