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183" w:lineRule="exact"/>
        <w:ind w:left="9515"/>
        <w:rPr>
          <w:rFonts w:ascii="Times New Roman"/>
          <w:sz w:val="18"/>
        </w:rPr>
      </w:pPr>
      <w:r>
        <w:rPr>
          <w:rFonts w:ascii="Times New Roman"/>
          <w:position w:val="-3"/>
          <w:sz w:val="18"/>
        </w:rPr>
        <w:drawing>
          <wp:inline distT="0" distB="0" distL="0" distR="0">
            <wp:extent cx="918316" cy="11658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18316" cy="116585"/>
                    </a:xfrm>
                    <a:prstGeom prst="rect">
                      <a:avLst/>
                    </a:prstGeom>
                  </pic:spPr>
                </pic:pic>
              </a:graphicData>
            </a:graphic>
          </wp:inline>
        </w:drawing>
      </w:r>
      <w:r>
        <w:rPr>
          <w:rFonts w:ascii="Times New Roman"/>
          <w:position w:val="-3"/>
          <w:sz w:val="18"/>
        </w:rPr>
      </w:r>
    </w:p>
    <w:p>
      <w:pPr>
        <w:pStyle w:val="BodyText"/>
        <w:rPr>
          <w:rFonts w:ascii="Times New Roman"/>
          <w:sz w:val="20"/>
        </w:rPr>
      </w:pPr>
    </w:p>
    <w:p>
      <w:pPr>
        <w:pStyle w:val="BodyText"/>
        <w:spacing w:before="3"/>
        <w:rPr>
          <w:rFonts w:ascii="Times New Roman"/>
          <w:sz w:val="23"/>
        </w:rPr>
      </w:pPr>
    </w:p>
    <w:p>
      <w:pPr>
        <w:spacing w:before="102"/>
        <w:ind w:left="117" w:right="0" w:firstLine="0"/>
        <w:jc w:val="left"/>
        <w:rPr>
          <w:sz w:val="12"/>
        </w:rPr>
      </w:pPr>
      <w:r>
        <w:rPr>
          <w:sz w:val="12"/>
        </w:rPr>
        <w:t>See discussions, stats, and author profiles for this publication at: </w:t>
      </w:r>
      <w:hyperlink r:id="rId6">
        <w:r>
          <w:rPr>
            <w:color w:val="3773A1"/>
            <w:sz w:val="12"/>
          </w:rPr>
          <w:t>https://www.researchgate.net/publication/318405723</w:t>
        </w:r>
      </w:hyperlink>
    </w:p>
    <w:p>
      <w:pPr>
        <w:pStyle w:val="BodyText"/>
        <w:spacing w:before="4"/>
        <w:rPr>
          <w:sz w:val="22"/>
        </w:rPr>
      </w:pPr>
    </w:p>
    <w:p>
      <w:pPr>
        <w:pStyle w:val="Title"/>
      </w:pPr>
      <w:hyperlink r:id="rId7">
        <w:r>
          <w:rPr/>
          <w:t>Las Zonas de Confort pueden ser Buenas</w:t>
        </w:r>
      </w:hyperlink>
    </w:p>
    <w:p>
      <w:pPr>
        <w:pStyle w:val="BodyText"/>
        <w:spacing w:before="4"/>
        <w:rPr>
          <w:rFonts w:ascii="Verdana"/>
          <w:sz w:val="31"/>
        </w:rPr>
      </w:pPr>
    </w:p>
    <w:p>
      <w:pPr>
        <w:spacing w:before="0"/>
        <w:ind w:left="117" w:right="0" w:firstLine="0"/>
        <w:jc w:val="left"/>
        <w:rPr>
          <w:sz w:val="13"/>
        </w:rPr>
      </w:pPr>
      <w:r>
        <w:rPr>
          <w:rFonts w:ascii="Trebuchet MS" w:hAnsi="Trebuchet MS"/>
          <w:b/>
          <w:color w:val="212121"/>
          <w:sz w:val="13"/>
        </w:rPr>
        <w:t>Research </w:t>
      </w:r>
      <w:r>
        <w:rPr>
          <w:color w:val="333333"/>
          <w:sz w:val="13"/>
        </w:rPr>
        <w:t>· July 2017</w:t>
      </w:r>
    </w:p>
    <w:p>
      <w:pPr>
        <w:spacing w:before="86"/>
        <w:ind w:left="117" w:right="0" w:firstLine="0"/>
        <w:jc w:val="left"/>
        <w:rPr>
          <w:sz w:val="9"/>
        </w:rPr>
      </w:pPr>
      <w:r>
        <w:rPr>
          <w:color w:val="545454"/>
          <w:sz w:val="9"/>
        </w:rPr>
        <w:t>DOI: 10.13140/RG.2.2.24159.15522</w:t>
      </w:r>
    </w:p>
    <w:p>
      <w:pPr>
        <w:pStyle w:val="BodyText"/>
        <w:rPr>
          <w:sz w:val="20"/>
        </w:rPr>
      </w:pPr>
    </w:p>
    <w:p>
      <w:pPr>
        <w:pStyle w:val="BodyText"/>
        <w:spacing w:before="6"/>
        <w:rPr>
          <w:sz w:val="16"/>
        </w:rPr>
      </w:pPr>
    </w:p>
    <w:p>
      <w:pPr>
        <w:tabs>
          <w:tab w:pos="5433" w:val="left" w:leader="none"/>
        </w:tabs>
        <w:spacing w:line="20" w:lineRule="exact"/>
        <w:ind w:left="117" w:right="0" w:firstLine="0"/>
        <w:rPr>
          <w:sz w:val="2"/>
        </w:rPr>
      </w:pPr>
      <w:r>
        <w:rPr>
          <w:sz w:val="2"/>
        </w:rPr>
        <w:pict>
          <v:group style="width:239.25pt;height:.7pt;mso-position-horizontal-relative:char;mso-position-vertical-relative:line" coordorigin="0,0" coordsize="4785,14">
            <v:rect style="position:absolute;left:0;top:0;width:4785;height:14" filled="true" fillcolor="#cccccc" stroked="false">
              <v:fill type="solid"/>
            </v:rect>
          </v:group>
        </w:pict>
      </w:r>
      <w:r>
        <w:rPr>
          <w:sz w:val="2"/>
        </w:rPr>
      </w:r>
      <w:r>
        <w:rPr>
          <w:sz w:val="2"/>
        </w:rPr>
        <w:tab/>
      </w:r>
      <w:r>
        <w:rPr>
          <w:sz w:val="2"/>
        </w:rPr>
        <w:pict>
          <v:group style="width:239.25pt;height:.7pt;mso-position-horizontal-relative:char;mso-position-vertical-relative:line" coordorigin="0,0" coordsize="4785,14">
            <v:rect style="position:absolute;left:0;top:0;width:4785;height:14" filled="true" fillcolor="#cccccc" stroked="false">
              <v:fill type="solid"/>
            </v:rect>
          </v:group>
        </w:pict>
      </w:r>
      <w:r>
        <w:rPr>
          <w:sz w:val="2"/>
        </w:rPr>
      </w:r>
    </w:p>
    <w:p>
      <w:pPr>
        <w:spacing w:after="0" w:line="20" w:lineRule="exact"/>
        <w:rPr>
          <w:sz w:val="2"/>
        </w:rPr>
        <w:sectPr>
          <w:type w:val="continuous"/>
          <w:pgSz w:w="12240" w:h="15840"/>
          <w:pgMar w:top="660" w:bottom="0" w:left="680" w:right="500"/>
        </w:sectPr>
      </w:pPr>
    </w:p>
    <w:p>
      <w:pPr>
        <w:spacing w:before="99"/>
        <w:ind w:left="117" w:right="0" w:firstLine="0"/>
        <w:jc w:val="left"/>
        <w:rPr>
          <w:sz w:val="10"/>
        </w:rPr>
      </w:pPr>
      <w:r>
        <w:rPr>
          <w:color w:val="333333"/>
          <w:w w:val="90"/>
          <w:sz w:val="10"/>
        </w:rPr>
        <w:t>CITATIONS</w:t>
      </w:r>
    </w:p>
    <w:p>
      <w:pPr>
        <w:spacing w:before="41"/>
        <w:ind w:left="117" w:right="0" w:firstLine="0"/>
        <w:jc w:val="left"/>
        <w:rPr>
          <w:sz w:val="16"/>
        </w:rPr>
      </w:pPr>
      <w:r>
        <w:rPr>
          <w:w w:val="88"/>
          <w:sz w:val="16"/>
        </w:rPr>
        <w:t>0</w:t>
      </w:r>
    </w:p>
    <w:p>
      <w:pPr>
        <w:spacing w:before="99"/>
        <w:ind w:left="117" w:right="0" w:firstLine="0"/>
        <w:jc w:val="left"/>
        <w:rPr>
          <w:sz w:val="10"/>
        </w:rPr>
      </w:pPr>
      <w:r>
        <w:rPr/>
        <w:br w:type="column"/>
      </w:r>
      <w:r>
        <w:rPr>
          <w:color w:val="333333"/>
          <w:w w:val="95"/>
          <w:sz w:val="10"/>
        </w:rPr>
        <w:t>READS</w:t>
      </w:r>
    </w:p>
    <w:p>
      <w:pPr>
        <w:spacing w:before="41"/>
        <w:ind w:left="117" w:right="0" w:firstLine="0"/>
        <w:jc w:val="left"/>
        <w:rPr>
          <w:sz w:val="16"/>
        </w:rPr>
      </w:pPr>
      <w:r>
        <w:rPr>
          <w:sz w:val="16"/>
        </w:rPr>
        <w:t>931</w:t>
      </w:r>
    </w:p>
    <w:p>
      <w:pPr>
        <w:spacing w:after="0"/>
        <w:jc w:val="left"/>
        <w:rPr>
          <w:sz w:val="16"/>
        </w:rPr>
        <w:sectPr>
          <w:type w:val="continuous"/>
          <w:pgSz w:w="12240" w:h="15840"/>
          <w:pgMar w:top="660" w:bottom="0" w:left="680" w:right="500"/>
          <w:cols w:num="2" w:equalWidth="0">
            <w:col w:w="634" w:space="4682"/>
            <w:col w:w="5744"/>
          </w:cols>
        </w:sectPr>
      </w:pPr>
    </w:p>
    <w:p>
      <w:pPr>
        <w:pStyle w:val="BodyText"/>
        <w:spacing w:before="1"/>
        <w:rPr>
          <w:sz w:val="21"/>
        </w:rPr>
      </w:pPr>
    </w:p>
    <w:p>
      <w:pPr>
        <w:spacing w:before="106"/>
        <w:ind w:left="117" w:right="0" w:firstLine="0"/>
        <w:jc w:val="left"/>
        <w:rPr>
          <w:rFonts w:ascii="Trebuchet MS"/>
          <w:b/>
          <w:sz w:val="13"/>
        </w:rPr>
      </w:pPr>
      <w:r>
        <w:rPr>
          <w:rFonts w:ascii="Trebuchet MS"/>
          <w:b/>
          <w:color w:val="212121"/>
          <w:sz w:val="13"/>
        </w:rPr>
        <w:t>1 author:</w:t>
      </w:r>
    </w:p>
    <w:p>
      <w:pPr>
        <w:pStyle w:val="BodyText"/>
        <w:spacing w:before="11"/>
        <w:rPr>
          <w:rFonts w:ascii="Trebuchet MS"/>
          <w:b/>
          <w:sz w:val="8"/>
        </w:rPr>
      </w:pPr>
    </w:p>
    <w:p>
      <w:pPr>
        <w:spacing w:line="340" w:lineRule="auto" w:before="105"/>
        <w:ind w:left="648" w:right="8542" w:firstLine="0"/>
        <w:jc w:val="left"/>
        <w:rPr>
          <w:sz w:val="13"/>
        </w:rPr>
      </w:pPr>
      <w:r>
        <w:rPr/>
        <w:drawing>
          <wp:anchor distT="0" distB="0" distL="0" distR="0" allowOverlap="1" layoutInCell="1" locked="0" behindDoc="0" simplePos="0" relativeHeight="15731200">
            <wp:simplePos x="0" y="0"/>
            <wp:positionH relativeFrom="page">
              <wp:posOffset>506345</wp:posOffset>
            </wp:positionH>
            <wp:positionV relativeFrom="paragraph">
              <wp:posOffset>68153</wp:posOffset>
            </wp:positionV>
            <wp:extent cx="253172" cy="253157"/>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53172" cy="253157"/>
                    </a:xfrm>
                    <a:prstGeom prst="rect">
                      <a:avLst/>
                    </a:prstGeom>
                  </pic:spPr>
                </pic:pic>
              </a:graphicData>
            </a:graphic>
          </wp:anchor>
        </w:drawing>
      </w:r>
      <w:hyperlink r:id="rId9">
        <w:r>
          <w:rPr>
            <w:color w:val="3773A1"/>
            <w:sz w:val="13"/>
          </w:rPr>
          <w:t>Lucas Rafael Ivorra Peñafort</w:t>
        </w:r>
      </w:hyperlink>
      <w:r>
        <w:rPr>
          <w:color w:val="3773A1"/>
          <w:sz w:val="13"/>
        </w:rPr>
        <w:t> </w:t>
      </w:r>
      <w:hyperlink r:id="rId10">
        <w:r>
          <w:rPr>
            <w:color w:val="212121"/>
            <w:sz w:val="13"/>
          </w:rPr>
          <w:t>Pontificia Universidad Javeriana</w:t>
        </w:r>
      </w:hyperlink>
    </w:p>
    <w:p>
      <w:pPr>
        <w:spacing w:before="36"/>
        <w:ind w:left="648" w:right="0" w:firstLine="0"/>
        <w:jc w:val="left"/>
        <w:rPr>
          <w:sz w:val="10"/>
        </w:rPr>
      </w:pPr>
      <w:r>
        <w:rPr/>
        <w:pict>
          <v:group style="position:absolute;margin-left:66.449524pt;margin-top:14.743239pt;width:43.2pt;height:14pt;mso-position-horizontal-relative:page;mso-position-vertical-relative:paragraph;z-index:-15727104;mso-wrap-distance-left:0;mso-wrap-distance-right:0" coordorigin="1329,295" coordsize="864,280">
            <v:shape style="position:absolute;left:1335;top:301;width:851;height:266" coordorigin="1336,302" coordsize="851,266" path="m1336,547l1336,321,1336,319,1336,316,1353,302,1356,302,2166,302,2169,302,2171,302,2186,319,2186,321,2186,547,2186,550,2186,553,2169,567,2166,567,1356,567,1353,567,1350,567,1336,550,1336,547xe" filled="false" stroked="true" strokeweight=".664495pt" strokecolor="#cccccc">
              <v:path arrowok="t"/>
              <v:stroke dashstyle="solid"/>
            </v:shape>
            <v:shapetype id="_x0000_t202" o:spt="202" coordsize="21600,21600" path="m,l,21600r21600,l21600,xe">
              <v:stroke joinstyle="miter"/>
              <v:path gradientshapeok="t" o:connecttype="rect"/>
            </v:shapetype>
            <v:shape style="position:absolute;left:1350;top:313;width:820;height:242" type="#_x0000_t202" filled="false" stroked="false">
              <v:textbox inset="0,0,0,0">
                <w:txbxContent>
                  <w:p>
                    <w:pPr>
                      <w:spacing w:before="60"/>
                      <w:ind w:left="124" w:right="0" w:firstLine="0"/>
                      <w:jc w:val="left"/>
                      <w:rPr>
                        <w:sz w:val="10"/>
                      </w:rPr>
                    </w:pPr>
                    <w:hyperlink r:id="rId11">
                      <w:r>
                        <w:rPr>
                          <w:color w:val="333333"/>
                          <w:w w:val="95"/>
                          <w:sz w:val="10"/>
                        </w:rPr>
                        <w:t>SEE PROFILE</w:t>
                      </w:r>
                    </w:hyperlink>
                  </w:p>
                </w:txbxContent>
              </v:textbox>
              <w10:wrap type="none"/>
            </v:shape>
            <w10:wrap type="topAndBottom"/>
          </v:group>
        </w:pict>
      </w:r>
      <w:r>
        <w:rPr>
          <w:rFonts w:ascii="Trebuchet MS"/>
          <w:b/>
          <w:sz w:val="12"/>
        </w:rPr>
        <w:t>105 </w:t>
      </w:r>
      <w:r>
        <w:rPr>
          <w:color w:val="333333"/>
          <w:sz w:val="10"/>
        </w:rPr>
        <w:t>PUBLICATIONS </w:t>
      </w:r>
      <w:r>
        <w:rPr>
          <w:rFonts w:ascii="Trebuchet MS"/>
          <w:b/>
          <w:sz w:val="12"/>
        </w:rPr>
        <w:t>1 </w:t>
      </w:r>
      <w:r>
        <w:rPr>
          <w:color w:val="333333"/>
          <w:sz w:val="10"/>
        </w:rPr>
        <w:t>CITATION</w:t>
      </w:r>
    </w:p>
    <w:p>
      <w:pPr>
        <w:pStyle w:val="BodyText"/>
        <w:rPr>
          <w:sz w:val="20"/>
        </w:rPr>
      </w:pPr>
    </w:p>
    <w:p>
      <w:pPr>
        <w:pStyle w:val="BodyText"/>
        <w:spacing w:before="11"/>
        <w:rPr>
          <w:sz w:val="19"/>
        </w:rPr>
      </w:pPr>
    </w:p>
    <w:p>
      <w:pPr>
        <w:spacing w:before="0"/>
        <w:ind w:left="117" w:right="0" w:firstLine="0"/>
        <w:jc w:val="left"/>
        <w:rPr>
          <w:rFonts w:ascii="Trebuchet MS"/>
          <w:b/>
          <w:sz w:val="13"/>
        </w:rPr>
      </w:pPr>
      <w:r>
        <w:rPr>
          <w:rFonts w:ascii="Trebuchet MS"/>
          <w:b/>
          <w:color w:val="212121"/>
          <w:sz w:val="13"/>
        </w:rPr>
        <w:t>Some of the authors of this publication are also working on these related projects:</w:t>
      </w:r>
    </w:p>
    <w:p>
      <w:pPr>
        <w:pStyle w:val="BodyText"/>
        <w:spacing w:before="9"/>
        <w:rPr>
          <w:rFonts w:ascii="Trebuchet MS"/>
          <w:b/>
          <w:sz w:val="23"/>
        </w:rPr>
      </w:pPr>
    </w:p>
    <w:p>
      <w:pPr>
        <w:spacing w:before="105"/>
        <w:ind w:left="1007" w:right="0" w:firstLine="0"/>
        <w:jc w:val="left"/>
        <w:rPr>
          <w:sz w:val="13"/>
        </w:rPr>
      </w:pPr>
      <w:r>
        <w:rPr/>
        <w:pict>
          <v:group style="position:absolute;margin-left:39.869759pt;margin-top:-5.265356pt;width:26.6pt;height:56.5pt;mso-position-horizontal-relative:page;mso-position-vertical-relative:paragraph;z-index:15730688" coordorigin="797,-105" coordsize="532,1130">
            <v:shape style="position:absolute;left:797;top:-106;width:532;height:532" type="#_x0000_t75" stroked="false">
              <v:imagedata r:id="rId12" o:title=""/>
            </v:shape>
            <v:shape style="position:absolute;left:797;top:492;width:532;height:532" type="#_x0000_t75" stroked="false">
              <v:imagedata r:id="rId12" o:title=""/>
            </v:shape>
            <w10:wrap type="none"/>
          </v:group>
        </w:pict>
      </w:r>
      <w:r>
        <w:rPr>
          <w:color w:val="333333"/>
          <w:sz w:val="13"/>
        </w:rPr>
        <w:t>Herramienta para la toma de decisiones sobre atributos de productos y servicios sostenibles desde la Eco-Productividad </w:t>
      </w:r>
      <w:hyperlink r:id="rId13">
        <w:r>
          <w:rPr>
            <w:color w:val="3773A1"/>
            <w:sz w:val="13"/>
          </w:rPr>
          <w:t>View project</w:t>
        </w:r>
      </w:hyperlink>
    </w:p>
    <w:p>
      <w:pPr>
        <w:pStyle w:val="BodyText"/>
        <w:spacing w:before="10"/>
        <w:rPr>
          <w:sz w:val="29"/>
        </w:rPr>
      </w:pPr>
    </w:p>
    <w:p>
      <w:pPr>
        <w:spacing w:before="105"/>
        <w:ind w:left="1007" w:right="0" w:firstLine="0"/>
        <w:jc w:val="left"/>
        <w:rPr>
          <w:sz w:val="13"/>
        </w:rPr>
      </w:pPr>
      <w:r>
        <w:rPr>
          <w:color w:val="333333"/>
          <w:sz w:val="13"/>
        </w:rPr>
        <w:t>Waste-to-Opportunity Colombia </w:t>
      </w:r>
      <w:hyperlink r:id="rId14">
        <w:r>
          <w:rPr>
            <w:color w:val="3773A1"/>
            <w:sz w:val="13"/>
          </w:rPr>
          <w:t>View project</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p>
      <w:pPr>
        <w:spacing w:before="0"/>
        <w:ind w:left="183" w:right="0" w:firstLine="0"/>
        <w:jc w:val="left"/>
        <w:rPr>
          <w:sz w:val="13"/>
        </w:rPr>
      </w:pPr>
      <w:r>
        <w:rPr>
          <w:sz w:val="13"/>
        </w:rPr>
        <w:t>All content following this page was uploaded by </w:t>
      </w:r>
      <w:hyperlink r:id="rId15">
        <w:r>
          <w:rPr>
            <w:color w:val="3773A1"/>
            <w:sz w:val="13"/>
          </w:rPr>
          <w:t>Lucas Rafael Ivorra Peñafort </w:t>
        </w:r>
      </w:hyperlink>
      <w:r>
        <w:rPr>
          <w:sz w:val="13"/>
        </w:rPr>
        <w:t>on 13 July 2017.</w:t>
      </w:r>
    </w:p>
    <w:p>
      <w:pPr>
        <w:pStyle w:val="BodyText"/>
        <w:rPr>
          <w:sz w:val="16"/>
        </w:rPr>
      </w:pPr>
    </w:p>
    <w:p>
      <w:pPr>
        <w:spacing w:before="0"/>
        <w:ind w:left="183" w:right="0" w:firstLine="0"/>
        <w:jc w:val="left"/>
        <w:rPr>
          <w:sz w:val="10"/>
        </w:rPr>
      </w:pPr>
      <w:r>
        <w:rPr>
          <w:sz w:val="10"/>
        </w:rPr>
        <w:t>The user has requested enhancement of the downloaded file.</w:t>
      </w:r>
    </w:p>
    <w:p>
      <w:pPr>
        <w:spacing w:after="0"/>
        <w:jc w:val="left"/>
        <w:rPr>
          <w:sz w:val="10"/>
        </w:rPr>
        <w:sectPr>
          <w:type w:val="continuous"/>
          <w:pgSz w:w="12240" w:h="15840"/>
          <w:pgMar w:top="660" w:bottom="0" w:left="680" w:right="500"/>
        </w:sectPr>
      </w:pPr>
    </w:p>
    <w:p>
      <w:pPr>
        <w:pStyle w:val="Heading1"/>
        <w:spacing w:before="75"/>
        <w:ind w:left="3060" w:right="3238" w:firstLine="0"/>
        <w:jc w:val="center"/>
      </w:pPr>
      <w:r>
        <w:rPr/>
        <w:t>Las Zonas de Confort pueden ser buenas</w:t>
      </w:r>
    </w:p>
    <w:p>
      <w:pPr>
        <w:pStyle w:val="BodyText"/>
        <w:rPr>
          <w:b/>
          <w:sz w:val="26"/>
        </w:rPr>
      </w:pPr>
    </w:p>
    <w:p>
      <w:pPr>
        <w:pStyle w:val="BodyText"/>
        <w:rPr>
          <w:b/>
          <w:sz w:val="26"/>
        </w:rPr>
      </w:pPr>
    </w:p>
    <w:p>
      <w:pPr>
        <w:pStyle w:val="BodyText"/>
        <w:spacing w:before="229"/>
        <w:ind w:left="1021" w:right="1199"/>
        <w:jc w:val="both"/>
      </w:pPr>
      <w:r>
        <w:rPr/>
        <w:t>En mis clases suelo preguntar a los estudiantes (pensando justamente en el concepto de zonas de confort):</w:t>
      </w:r>
    </w:p>
    <w:p>
      <w:pPr>
        <w:pStyle w:val="BodyText"/>
        <w:ind w:left="1021" w:right="1198"/>
        <w:jc w:val="both"/>
      </w:pPr>
      <w:r>
        <w:rPr/>
        <w:t>¿Quién se siente exitoso en su vida ya? Es muy común ver que casi nadie levanta la mano, y los pocos que lo hacen lo hacen tímidamente…. prácticamente nadie realmente levanta la mano con la completa convicción de que ya lo es.</w:t>
      </w:r>
    </w:p>
    <w:p>
      <w:pPr>
        <w:pStyle w:val="BodyText"/>
        <w:ind w:left="1021"/>
        <w:jc w:val="both"/>
      </w:pPr>
      <w:r>
        <w:rPr/>
        <w:t>¿Por qué está pasando esto?</w:t>
      </w:r>
    </w:p>
    <w:p>
      <w:pPr>
        <w:pStyle w:val="BodyText"/>
      </w:pPr>
    </w:p>
    <w:p>
      <w:pPr>
        <w:pStyle w:val="BodyText"/>
        <w:ind w:left="1021" w:right="1198"/>
        <w:jc w:val="both"/>
      </w:pPr>
      <w:r>
        <w:rPr/>
        <w:t>Es común escuchar en las charlas sobre emprendimiento que uno debe salirse de la zona de confort, porque hay que estar constantemente progresando, desarrollándose y mejorando. Incluso en algunas llegan a invitar a todos los asistentes a que sean emprendedores, que no se queden como empleados toda su vida, porque lo mejor les espera creando empresa… bueno, tienen razón parcialmente, sólo parcialmente. ¿Qué opinan? No me malentiendan, yo renuncié a una de las mejores empresas para trabajar en Colombia, agradecido por esa experiencia, y con ganas de ser consultor y profesor en los temas de sostenibilidad y bienestar que me encantan. Además, soy muy exigente conmigo mismo para ser mejor cada vez más,</w:t>
      </w:r>
      <w:r>
        <w:rPr>
          <w:spacing w:val="-2"/>
        </w:rPr>
        <w:t> </w:t>
      </w:r>
      <w:r>
        <w:rPr/>
        <w:t>pero….</w:t>
      </w:r>
    </w:p>
    <w:p>
      <w:pPr>
        <w:pStyle w:val="BodyText"/>
        <w:spacing w:before="11"/>
        <w:rPr>
          <w:sz w:val="23"/>
        </w:rPr>
      </w:pPr>
    </w:p>
    <w:p>
      <w:pPr>
        <w:pStyle w:val="BodyText"/>
        <w:ind w:left="1021" w:right="1197"/>
        <w:jc w:val="both"/>
      </w:pPr>
      <w:r>
        <w:rPr/>
        <w:t>Como es costumbre cuando escribo, quiero compartirles un par de preguntas para motivar la reflexión sobre este tema y sobre dos conceptos que veo que a veces causan un efecto contrario: Zonas de Confort y Mejoramiento Continuo (en vez de motivar el desarrollo de una persona, pueden entorpercerlo). Definitivamente no siempre es bueno salirse de las zonas de confort, no siempre es mejor emprender que ser empleado, no siempre hay que mantenerse bajo el paradigma del “mejoramiento continuo” de forma ininterrumpida:</w:t>
      </w:r>
    </w:p>
    <w:p>
      <w:pPr>
        <w:pStyle w:val="BodyText"/>
        <w:spacing w:before="2"/>
      </w:pPr>
    </w:p>
    <w:p>
      <w:pPr>
        <w:pStyle w:val="Heading1"/>
        <w:numPr>
          <w:ilvl w:val="0"/>
          <w:numId w:val="1"/>
        </w:numPr>
        <w:tabs>
          <w:tab w:pos="1382" w:val="left" w:leader="none"/>
        </w:tabs>
        <w:spacing w:line="240" w:lineRule="auto" w:before="0" w:after="0"/>
        <w:ind w:left="1381" w:right="0" w:hanging="361"/>
        <w:jc w:val="left"/>
      </w:pPr>
      <w:r>
        <w:rPr/>
        <w:t>¿Las zonas de confort son</w:t>
      </w:r>
      <w:r>
        <w:rPr>
          <w:spacing w:val="-3"/>
        </w:rPr>
        <w:t> </w:t>
      </w:r>
      <w:r>
        <w:rPr/>
        <w:t>malas?</w:t>
      </w:r>
    </w:p>
    <w:p>
      <w:pPr>
        <w:pStyle w:val="BodyText"/>
        <w:spacing w:before="10"/>
        <w:rPr>
          <w:b/>
          <w:sz w:val="23"/>
        </w:rPr>
      </w:pPr>
    </w:p>
    <w:p>
      <w:pPr>
        <w:pStyle w:val="BodyText"/>
        <w:ind w:left="1381" w:right="1200"/>
        <w:jc w:val="both"/>
      </w:pPr>
      <w:r>
        <w:rPr/>
        <w:t>¿Han conocido personas que sean felices en los cargos donde están y no tengan como meta ascender, así estén en uno de los niveles jerárquicos más bajos de la organización? Yo sí.</w:t>
      </w:r>
    </w:p>
    <w:p>
      <w:pPr>
        <w:pStyle w:val="BodyText"/>
        <w:ind w:left="1381" w:right="1201"/>
        <w:jc w:val="both"/>
      </w:pPr>
      <w:r>
        <w:rPr/>
        <w:t>¿Han conocido personas que sean felices siendo empleadas y que no tengan como meta crear empresa? Yo sí.</w:t>
      </w:r>
    </w:p>
    <w:p>
      <w:pPr>
        <w:pStyle w:val="BodyText"/>
      </w:pPr>
    </w:p>
    <w:p>
      <w:pPr>
        <w:pStyle w:val="BodyText"/>
        <w:ind w:left="1381" w:right="1197"/>
        <w:jc w:val="both"/>
      </w:pPr>
      <w:r>
        <w:rPr/>
        <w:t>En estos casos, ¿considerarían ustedes que una persona que no quiere ascender o que no quiere crear empresa es una persona conformista, o “perdedora”? ¡Espero que no! Hay que tener mucho cuidado con las personas que son felices y que no tienen estas metas que comento, para no terminar destruyéndoles parte de su felicidad con prejuicios que uno pueda tener sobre lo que significa “crecer”, “desarrollarse”, “superarse”. Además, no todas las metas en la vida deben enfocarse en lo académico o en lo profesional. ¿Qué pasa si una persona tiene como meta disfrutar</w:t>
      </w:r>
      <w:r>
        <w:rPr>
          <w:spacing w:val="51"/>
        </w:rPr>
        <w:t> </w:t>
      </w:r>
      <w:r>
        <w:rPr/>
        <w:t>por completo sus hijos,</w:t>
      </w:r>
      <w:r>
        <w:rPr>
          <w:spacing w:val="51"/>
        </w:rPr>
        <w:t> </w:t>
      </w:r>
      <w:r>
        <w:rPr/>
        <w:t>por</w:t>
      </w:r>
    </w:p>
    <w:p>
      <w:pPr>
        <w:spacing w:after="0"/>
        <w:jc w:val="both"/>
        <w:sectPr>
          <w:pgSz w:w="12240" w:h="15840"/>
          <w:pgMar w:top="1340" w:bottom="280" w:left="680" w:right="500"/>
        </w:sectPr>
      </w:pPr>
    </w:p>
    <w:p>
      <w:pPr>
        <w:pStyle w:val="BodyText"/>
        <w:spacing w:before="74"/>
        <w:ind w:left="1381" w:right="1196"/>
        <w:jc w:val="both"/>
      </w:pPr>
      <w:r>
        <w:rPr/>
        <w:t>ejemplo, así no “brille” profesionalmente o académicamente? ¡Sería perfectamente válido igual si encuentra su plenitud en ello!</w:t>
      </w:r>
    </w:p>
    <w:p>
      <w:pPr>
        <w:pStyle w:val="BodyText"/>
        <w:ind w:left="1381" w:right="1199"/>
        <w:jc w:val="both"/>
      </w:pPr>
      <w:r>
        <w:rPr/>
        <w:t>En mi caso, hay zonas de confort de las que espero mantenerme alejado en esta época de mi vida con mi esposa, pero también he llegado a algunas zonas de confort en las que espero quedarme por un muuuuy bueeeeen tiempooooo.</w:t>
      </w:r>
    </w:p>
    <w:p>
      <w:pPr>
        <w:pStyle w:val="BodyText"/>
        <w:rPr>
          <w:sz w:val="26"/>
        </w:rPr>
      </w:pPr>
    </w:p>
    <w:p>
      <w:pPr>
        <w:pStyle w:val="BodyText"/>
        <w:spacing w:before="1"/>
        <w:rPr>
          <w:sz w:val="22"/>
        </w:rPr>
      </w:pPr>
    </w:p>
    <w:p>
      <w:pPr>
        <w:pStyle w:val="Heading1"/>
        <w:numPr>
          <w:ilvl w:val="0"/>
          <w:numId w:val="1"/>
        </w:numPr>
        <w:tabs>
          <w:tab w:pos="1382" w:val="left" w:leader="none"/>
        </w:tabs>
        <w:spacing w:line="240" w:lineRule="auto" w:before="1" w:after="0"/>
        <w:ind w:left="1381" w:right="0" w:hanging="361"/>
        <w:jc w:val="left"/>
      </w:pPr>
      <w:r>
        <w:rPr/>
        <w:t>¿El mejoramiento continuo debe ser</w:t>
      </w:r>
      <w:r>
        <w:rPr>
          <w:spacing w:val="-1"/>
        </w:rPr>
        <w:t> </w:t>
      </w:r>
      <w:r>
        <w:rPr/>
        <w:t>permanente?</w:t>
      </w:r>
    </w:p>
    <w:p>
      <w:pPr>
        <w:pStyle w:val="BodyText"/>
        <w:spacing w:before="10"/>
        <w:rPr>
          <w:b/>
          <w:sz w:val="23"/>
        </w:rPr>
      </w:pPr>
    </w:p>
    <w:p>
      <w:pPr>
        <w:pStyle w:val="BodyText"/>
        <w:ind w:left="1381" w:right="1197"/>
        <w:jc w:val="both"/>
      </w:pPr>
      <w:r>
        <w:rPr/>
        <w:t>Hemos aprendido que por más lejos que uno haya llegado, siempre se podrá ir más lejos. O, por más bien que uno haya hecho las cosas, siempre podrá hacerlas mejor (porque siempre habrá fallas que corregir) Es más, desde la misma academia en ocasiones desafortunadamente se sigue con ese patrón: en las clases también pregunto si es más común que reciban retroalimentaciones sobre lo que hicieron bien o sobre lo que hicieron mal en sus trabajos en clase (incluyendo las que yo dicto), y es usual que respondan que son más las veces las que reciben comentarios sobre las fallas que sobre los aciertos.</w:t>
      </w:r>
    </w:p>
    <w:p>
      <w:pPr>
        <w:pStyle w:val="BodyText"/>
        <w:ind w:left="1381" w:right="1197"/>
        <w:jc w:val="both"/>
      </w:pPr>
      <w:r>
        <w:rPr/>
        <w:t>Entonces, ¿cuándo tomo una pausa y disfruto lo que ya conseguí? ¿lo que ya hice? ¿lo que ya aprendí y logré? ¿Consideran que disfrutar de lo que he conseguido y logrado es perder el tiempo porque debería estar pensando más bien en lo siguiente que haré, en lo que mejoraré, en cómo me superaré? Claro, en mi experiencia con emprendimientos si uno no va 10 pasos adelante en lo que los clientes piden y lo que las otras empresas están haciendo, se corre el riesgo de ser igualado y superado por los demás ofertantes del mercado, pero eso no excluye que uno como emprendedor tome pausas para disfrutar lo que ya ha</w:t>
      </w:r>
      <w:r>
        <w:rPr>
          <w:spacing w:val="-2"/>
        </w:rPr>
        <w:t> </w:t>
      </w:r>
      <w:r>
        <w:rPr/>
        <w:t>logrado.</w:t>
      </w:r>
    </w:p>
    <w:p>
      <w:pPr>
        <w:pStyle w:val="BodyText"/>
        <w:ind w:left="1381" w:right="1196"/>
        <w:jc w:val="both"/>
      </w:pPr>
      <w:r>
        <w:rPr/>
        <w:t>¿Qué opinarían de una persona que toma la decisión de ir más despacio en su vida, de no estudiar tanto, de disfrutar más su tiempo libre, de darle igual de importancia al ocio, bien entendido? ¿dirían que es una persona “conformista”, “facilista”? ¡Espero que no lo hagan a priori! También debemos tener cuidado con las personas que están en esos momentos de pausa en sus vidas para reconfortarse en lo que han logrado y disfrutar de lo que han vivido.</w:t>
      </w:r>
    </w:p>
    <w:p>
      <w:pPr>
        <w:pStyle w:val="BodyText"/>
        <w:ind w:left="1381" w:right="1197"/>
        <w:jc w:val="both"/>
      </w:pPr>
      <w:r>
        <w:rPr/>
        <w:t>En mi caso estoy en un momento de la vida en el que quiero disfrutar varias metas que ya conseguí y no buscar nada más. Por ejemplo, tan pronto acabé la maestría hace unos años, algunas personas me dijeron (con cariño y buena intención claro) que para cuándo pensaba hacer el doctorado… ¡déjenme disfrutar la maestría, y ya veremos cuándo viene la oportunidad en donde seguir estudiando sea pertinente y</w:t>
      </w:r>
      <w:r>
        <w:rPr>
          <w:spacing w:val="-1"/>
        </w:rPr>
        <w:t> </w:t>
      </w:r>
      <w:r>
        <w:rPr/>
        <w:t>posible!</w:t>
      </w:r>
    </w:p>
    <w:p>
      <w:pPr>
        <w:pStyle w:val="BodyText"/>
      </w:pPr>
    </w:p>
    <w:p>
      <w:pPr>
        <w:pStyle w:val="BodyText"/>
        <w:ind w:left="1021" w:right="1195"/>
        <w:jc w:val="both"/>
      </w:pPr>
      <w:r>
        <w:rPr/>
        <w:t>Con esto, por supuesto, no pretendo “cortar las alas” de quien quiere emprender y volar persiguiendo sueños. De todos modos, es preciso tener esta reflexión presente para no vivir tampoco frustrado continuamente en la vida, esperando ese supuesto momento en el que se podrá decir “ya soy feliz” o “ya soy exitoso” Si la sostenibilidad es un camino, no un estado final, lo mismo pasa con la felicidad.</w:t>
      </w:r>
    </w:p>
    <w:p>
      <w:pPr>
        <w:pStyle w:val="BodyText"/>
        <w:ind w:left="1021"/>
        <w:jc w:val="both"/>
      </w:pPr>
      <w:r>
        <w:rPr/>
        <w:t>¿Debemos entonces dedicarnos a ser mediocres? ¡Absolutamente no!</w:t>
      </w:r>
    </w:p>
    <w:p>
      <w:pPr>
        <w:spacing w:after="0"/>
        <w:jc w:val="both"/>
        <w:sectPr>
          <w:pgSz w:w="12240" w:h="15840"/>
          <w:pgMar w:top="1340" w:bottom="280" w:left="680" w:right="500"/>
        </w:sectPr>
      </w:pPr>
    </w:p>
    <w:p>
      <w:pPr>
        <w:pStyle w:val="BodyText"/>
        <w:spacing w:before="74"/>
        <w:ind w:left="1021" w:right="1197"/>
        <w:jc w:val="both"/>
      </w:pPr>
      <w:r>
        <w:rPr/>
        <w:t>Termino estas ideas con lo siguiente: ¿ya te preguntaste cómo mides el éxito de tu vida? No está mal si algunos dicen que lo miden en función del dinero que ganan, o en función de la cantidad y el tipo de cosas que compren, pero tengan mucho cuidado porque pueden llegar a caer en una trampa: a menos que sean la persona con más dinero en el mundo (y ni siquiera, porque esos puestos rotan) SIEMPRE, SIEMPRE, SIEMPRE encontrarán alguien que gane más que ustedes y tenga más cosas que ustedes.</w:t>
      </w:r>
    </w:p>
    <w:p>
      <w:pPr>
        <w:pStyle w:val="BodyText"/>
      </w:pPr>
    </w:p>
    <w:p>
      <w:pPr>
        <w:pStyle w:val="BodyText"/>
        <w:ind w:left="1021"/>
        <w:jc w:val="both"/>
      </w:pPr>
      <w:r>
        <w:rPr/>
        <w:t>Sean felices y disfruten y celebren cada paso que den hacia sus metas.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35"/>
        </w:rPr>
      </w:pPr>
    </w:p>
    <w:p>
      <w:pPr>
        <w:spacing w:before="0"/>
        <w:ind w:left="320" w:right="0" w:firstLine="0"/>
        <w:jc w:val="left"/>
        <w:rPr>
          <w:sz w:val="8"/>
        </w:rPr>
      </w:pPr>
      <w:hyperlink r:id="rId16">
        <w:r>
          <w:rPr>
            <w:color w:val="B3B3B3"/>
            <w:sz w:val="8"/>
          </w:rPr>
          <w:t>View publication stats</w:t>
        </w:r>
      </w:hyperlink>
    </w:p>
    <w:sectPr>
      <w:pgSz w:w="12240" w:h="15840"/>
      <w:pgMar w:top="1340" w:bottom="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381" w:hanging="360"/>
        <w:jc w:val="left"/>
      </w:pPr>
      <w:rPr>
        <w:rFonts w:hint="default" w:ascii="Arial" w:hAnsi="Arial" w:eastAsia="Arial" w:cs="Arial"/>
        <w:b/>
        <w:bCs/>
        <w:spacing w:val="-1"/>
        <w:w w:val="99"/>
        <w:sz w:val="24"/>
        <w:szCs w:val="24"/>
        <w:lang w:val="en-US" w:eastAsia="en-US" w:bidi="ar-SA"/>
      </w:rPr>
    </w:lvl>
    <w:lvl w:ilvl="1">
      <w:start w:val="0"/>
      <w:numFmt w:val="bullet"/>
      <w:lvlText w:val="•"/>
      <w:lvlJc w:val="left"/>
      <w:pPr>
        <w:ind w:left="2348" w:hanging="360"/>
      </w:pPr>
      <w:rPr>
        <w:rFonts w:hint="default"/>
        <w:lang w:val="en-US" w:eastAsia="en-US" w:bidi="ar-SA"/>
      </w:rPr>
    </w:lvl>
    <w:lvl w:ilvl="2">
      <w:start w:val="0"/>
      <w:numFmt w:val="bullet"/>
      <w:lvlText w:val="•"/>
      <w:lvlJc w:val="left"/>
      <w:pPr>
        <w:ind w:left="3316" w:hanging="360"/>
      </w:pPr>
      <w:rPr>
        <w:rFonts w:hint="default"/>
        <w:lang w:val="en-US" w:eastAsia="en-US" w:bidi="ar-SA"/>
      </w:rPr>
    </w:lvl>
    <w:lvl w:ilvl="3">
      <w:start w:val="0"/>
      <w:numFmt w:val="bullet"/>
      <w:lvlText w:val="•"/>
      <w:lvlJc w:val="left"/>
      <w:pPr>
        <w:ind w:left="4284" w:hanging="360"/>
      </w:pPr>
      <w:rPr>
        <w:rFonts w:hint="default"/>
        <w:lang w:val="en-US" w:eastAsia="en-US" w:bidi="ar-SA"/>
      </w:rPr>
    </w:lvl>
    <w:lvl w:ilvl="4">
      <w:start w:val="0"/>
      <w:numFmt w:val="bullet"/>
      <w:lvlText w:val="•"/>
      <w:lvlJc w:val="left"/>
      <w:pPr>
        <w:ind w:left="5252" w:hanging="360"/>
      </w:pPr>
      <w:rPr>
        <w:rFonts w:hint="default"/>
        <w:lang w:val="en-US" w:eastAsia="en-US" w:bidi="ar-SA"/>
      </w:rPr>
    </w:lvl>
    <w:lvl w:ilvl="5">
      <w:start w:val="0"/>
      <w:numFmt w:val="bullet"/>
      <w:lvlText w:val="•"/>
      <w:lvlJc w:val="left"/>
      <w:pPr>
        <w:ind w:left="6220" w:hanging="360"/>
      </w:pPr>
      <w:rPr>
        <w:rFonts w:hint="default"/>
        <w:lang w:val="en-US" w:eastAsia="en-US" w:bidi="ar-SA"/>
      </w:rPr>
    </w:lvl>
    <w:lvl w:ilvl="6">
      <w:start w:val="0"/>
      <w:numFmt w:val="bullet"/>
      <w:lvlText w:val="•"/>
      <w:lvlJc w:val="left"/>
      <w:pPr>
        <w:ind w:left="7188" w:hanging="360"/>
      </w:pPr>
      <w:rPr>
        <w:rFonts w:hint="default"/>
        <w:lang w:val="en-US" w:eastAsia="en-US" w:bidi="ar-SA"/>
      </w:rPr>
    </w:lvl>
    <w:lvl w:ilvl="7">
      <w:start w:val="0"/>
      <w:numFmt w:val="bullet"/>
      <w:lvlText w:val="•"/>
      <w:lvlJc w:val="left"/>
      <w:pPr>
        <w:ind w:left="8156" w:hanging="360"/>
      </w:pPr>
      <w:rPr>
        <w:rFonts w:hint="default"/>
        <w:lang w:val="en-US" w:eastAsia="en-US" w:bidi="ar-SA"/>
      </w:rPr>
    </w:lvl>
    <w:lvl w:ilvl="8">
      <w:start w:val="0"/>
      <w:numFmt w:val="bullet"/>
      <w:lvlText w:val="•"/>
      <w:lvlJc w:val="left"/>
      <w:pPr>
        <w:ind w:left="9124"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ind w:left="1381" w:hanging="361"/>
      <w:outlineLvl w:val="1"/>
    </w:pPr>
    <w:rPr>
      <w:rFonts w:ascii="Arial" w:hAnsi="Arial" w:eastAsia="Arial" w:cs="Arial"/>
      <w:b/>
      <w:bCs/>
      <w:sz w:val="24"/>
      <w:szCs w:val="24"/>
      <w:lang w:val="en-US" w:eastAsia="en-US" w:bidi="ar-SA"/>
    </w:rPr>
  </w:style>
  <w:style w:styleId="Title" w:type="paragraph">
    <w:name w:val="Title"/>
    <w:basedOn w:val="Normal"/>
    <w:uiPriority w:val="1"/>
    <w:qFormat/>
    <w:pPr>
      <w:spacing w:before="1"/>
      <w:ind w:left="117"/>
    </w:pPr>
    <w:rPr>
      <w:rFonts w:ascii="Verdana" w:hAnsi="Verdana" w:eastAsia="Verdana" w:cs="Verdana"/>
      <w:sz w:val="26"/>
      <w:szCs w:val="26"/>
      <w:lang w:val="en-US" w:eastAsia="en-US" w:bidi="ar-SA"/>
    </w:rPr>
  </w:style>
  <w:style w:styleId="ListParagraph" w:type="paragraph">
    <w:name w:val="List Paragraph"/>
    <w:basedOn w:val="Normal"/>
    <w:uiPriority w:val="1"/>
    <w:qFormat/>
    <w:pPr>
      <w:ind w:left="1381" w:hanging="361"/>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researchgate.net/publication/318405723_Las_Zonas_de_Confort_pueden_ser_Buenas?enrichId=rgreq-a97b31f766cad51c734870009cffe44b-XXX&amp;enrichSource=Y292ZXJQYWdlOzMxODQwNTcyMztBUzo1MTU3ODYyMDI5MTA3MjBAMTQ5OTk4NDQyMTA2MQ%3D%3D&amp;el=1_x_2&amp;_esc=publicationCoverPdf" TargetMode="External"/><Relationship Id="rId7" Type="http://schemas.openxmlformats.org/officeDocument/2006/relationships/hyperlink" Target="https://www.researchgate.net/publication/318405723_Las_Zonas_de_Confort_pueden_ser_Buenas?enrichId=rgreq-a97b31f766cad51c734870009cffe44b-XXX&amp;enrichSource=Y292ZXJQYWdlOzMxODQwNTcyMztBUzo1MTU3ODYyMDI5MTA3MjBAMTQ5OTk4NDQyMTA2MQ%3D%3D&amp;el=1_x_3&amp;_esc=publicationCoverPdf" TargetMode="External"/><Relationship Id="rId8" Type="http://schemas.openxmlformats.org/officeDocument/2006/relationships/image" Target="media/image2.png"/><Relationship Id="rId9" Type="http://schemas.openxmlformats.org/officeDocument/2006/relationships/hyperlink" Target="https://www.researchgate.net/profile/Lucas-Ivorra-Penafort?enrichId=rgreq-a97b31f766cad51c734870009cffe44b-XXX&amp;enrichSource=Y292ZXJQYWdlOzMxODQwNTcyMztBUzo1MTU3ODYyMDI5MTA3MjBAMTQ5OTk4NDQyMTA2MQ%3D%3D&amp;el=1_x_5&amp;_esc=publicationCoverPdf" TargetMode="External"/><Relationship Id="rId10" Type="http://schemas.openxmlformats.org/officeDocument/2006/relationships/hyperlink" Target="https://www.researchgate.net/institution/Pontificia_Universidad_Javeriana?enrichId=rgreq-a97b31f766cad51c734870009cffe44b-XXX&amp;enrichSource=Y292ZXJQYWdlOzMxODQwNTcyMztBUzo1MTU3ODYyMDI5MTA3MjBAMTQ5OTk4NDQyMTA2MQ%3D%3D&amp;el=1_x_6&amp;_esc=publicationCoverPdf" TargetMode="External"/><Relationship Id="rId11" Type="http://schemas.openxmlformats.org/officeDocument/2006/relationships/hyperlink" Target="https://www.researchgate.net/profile/Lucas-Ivorra-Penafort?enrichId=rgreq-a97b31f766cad51c734870009cffe44b-XXX&amp;enrichSource=Y292ZXJQYWdlOzMxODQwNTcyMztBUzo1MTU3ODYyMDI5MTA3MjBAMTQ5OTk4NDQyMTA2MQ%3D%3D&amp;el=1_x_7&amp;_esc=publicationCoverPdf" TargetMode="External"/><Relationship Id="rId12" Type="http://schemas.openxmlformats.org/officeDocument/2006/relationships/image" Target="media/image3.png"/><Relationship Id="rId13" Type="http://schemas.openxmlformats.org/officeDocument/2006/relationships/hyperlink" Target="https://www.researchgate.net/project/Herramienta-para-la-toma-de-decisiones-sobre-atributos-de-productos-y-servicios-sostenibles-desde-la-Eco-Productividad?enrichId=rgreq-a97b31f766cad51c734870009cffe44b-XXX&amp;enrichSource=Y292ZXJQYWdlOzMxODQwNTcyMztBUzo1MTU3ODYyMDI5MTA3MjBAMTQ5OTk4NDQyMTA2MQ%3D%3D&amp;el=1_x_9&amp;_esc=publicationCoverPdf" TargetMode="External"/><Relationship Id="rId14" Type="http://schemas.openxmlformats.org/officeDocument/2006/relationships/hyperlink" Target="https://www.researchgate.net/project/Waste-to-Opportunity-Colombia?enrichId=rgreq-a97b31f766cad51c734870009cffe44b-XXX&amp;enrichSource=Y292ZXJQYWdlOzMxODQwNTcyMztBUzo1MTU3ODYyMDI5MTA3MjBAMTQ5OTk4NDQyMTA2MQ%3D%3D&amp;el=1_x_9&amp;_esc=publicationCoverPdf" TargetMode="External"/><Relationship Id="rId15" Type="http://schemas.openxmlformats.org/officeDocument/2006/relationships/hyperlink" Target="https://www.researchgate.net/profile/Lucas-Ivorra-Penafort?enrichId=rgreq-a97b31f766cad51c734870009cffe44b-XXX&amp;enrichSource=Y292ZXJQYWdlOzMxODQwNTcyMztBUzo1MTU3ODYyMDI5MTA3MjBAMTQ5OTk4NDQyMTA2MQ%3D%3D&amp;el=1_x_10&amp;_esc=publicationCoverPdf" TargetMode="External"/><Relationship Id="rId16" Type="http://schemas.openxmlformats.org/officeDocument/2006/relationships/hyperlink" Target="https://www.researchgate.net/publication/318405723"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Rafael Ivorra Peñafort</dc:creator>
  <dcterms:created xsi:type="dcterms:W3CDTF">2021-06-23T11:45:19Z</dcterms:created>
  <dcterms:modified xsi:type="dcterms:W3CDTF">2021-06-23T11:45:19Z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Microsoft® Word 2016</vt:lpwstr>
  </property>
  <property fmtid="{D5CDD505-2E9C-101B-9397-08002B2CF9AE}" pid="4" name="LastSaved">
    <vt:filetime>2021-06-23T00:00:00Z</vt:filetime>
  </property>
</Properties>
</file>