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Healthcare Terms &amp; Definitions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left"/>
        <w:rPr>
          <w:b w:val="1"/>
          <w:u w:val="single"/>
        </w:rPr>
      </w:pPr>
      <w:sdt>
        <w:sdtPr>
          <w:tag w:val="goog_rdk_0"/>
        </w:sdtPr>
        <w:sdtContent>
          <w:commentRangeStart w:id="0"/>
        </w:sdtContent>
      </w:sdt>
      <w:r w:rsidDel="00000000" w:rsidR="00000000" w:rsidRPr="00000000">
        <w:rPr>
          <w:b w:val="1"/>
          <w:u w:val="single"/>
          <w:rtl w:val="0"/>
        </w:rPr>
        <w:t xml:space="preserve">A-C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ACO: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Accountable Care Organizations are designed to incentivize health care providers to become accountable for a patient population, invest in infrastructure and redesigned care processes.  ACOs are groups of doctors, hospitals, and other health care providers, who come together voluntarily to give coordinated high-quality care to their Medicare patients.  The goal of this coordinated care is to ensure that patients get the right care at the right time, while avoiding unnecessary duplication of services and preventing medical errors.  An ACO agrees to be held accountable for the quality, cost, and experience of care of an assigned Medicare fee-for-service (FFS) beneficiary population. When an ACO succeeds both in delivering high-quality care and spending health care dollars more wisely, the ACO will share in the savings it achieves for the Medicare program. </w:t>
      </w:r>
    </w:p>
    <w:p w:rsidR="00000000" w:rsidDel="00000000" w:rsidP="00000000" w:rsidRDefault="00000000" w:rsidRPr="00000000" w14:paraId="00000004">
      <w:pPr>
        <w:rPr/>
      </w:pPr>
      <w:r w:rsidDel="00000000" w:rsidR="00000000" w:rsidRPr="00000000">
        <w:rPr>
          <w:b w:val="1"/>
          <w:u w:val="single"/>
          <w:rtl w:val="0"/>
        </w:rPr>
        <w:t xml:space="preserve">Acute Care: </w:t>
      </w:r>
      <w:r w:rsidDel="00000000" w:rsidR="00000000" w:rsidRPr="00000000">
        <w:rPr>
          <w:color w:val="333333"/>
          <w:highlight w:val="white"/>
          <w:rtl w:val="0"/>
        </w:rPr>
        <w:t xml:space="preserve"> </w:t>
      </w:r>
      <w:r w:rsidDel="00000000" w:rsidR="00000000" w:rsidRPr="00000000">
        <w:rPr>
          <w:i w:val="0"/>
          <w:color w:val="333333"/>
          <w:highlight w:val="white"/>
          <w:rtl w:val="0"/>
        </w:rPr>
        <w:t xml:space="preserve">Acute Care e</w:t>
      </w:r>
      <w:r w:rsidDel="00000000" w:rsidR="00000000" w:rsidRPr="00000000">
        <w:rPr>
          <w:color w:val="333333"/>
          <w:highlight w:val="white"/>
          <w:rtl w:val="0"/>
        </w:rPr>
        <w:t xml:space="preserve">ncompasses a range of clinical health-care functions, including emergency medicine, trauma care, pre-hospital emergency care, acute care surgery, critical care, urgent care and short-term inpatient stabilization. </w:t>
      </w:r>
      <w:r w:rsidDel="00000000" w:rsidR="00000000" w:rsidRPr="00000000">
        <w:rPr>
          <w:rtl w:val="0"/>
        </w:rPr>
        <w:t xml:space="preserve">An acute care facility is a hospital that provides inpatient medical care and other related services for surgery, acute medical conditions or injuries.</w:t>
      </w:r>
    </w:p>
    <w:p w:rsidR="00000000" w:rsidDel="00000000" w:rsidP="00000000" w:rsidRDefault="00000000" w:rsidRPr="00000000" w14:paraId="00000005">
      <w:pPr>
        <w:rPr/>
      </w:pPr>
      <w:r w:rsidDel="00000000" w:rsidR="00000000" w:rsidRPr="00000000">
        <w:rPr>
          <w:b w:val="1"/>
          <w:u w:val="single"/>
          <w:rtl w:val="0"/>
        </w:rPr>
        <w:t xml:space="preserve">ADT</w:t>
      </w:r>
      <w:r w:rsidDel="00000000" w:rsidR="00000000" w:rsidRPr="00000000">
        <w:rPr>
          <w:rtl w:val="0"/>
        </w:rPr>
        <w:t xml:space="preserve">: The Admission, Discharge, Transfer (ADT) Message.</w:t>
      </w:r>
      <w:r w:rsidDel="00000000" w:rsidR="00000000" w:rsidRPr="00000000">
        <w:rPr>
          <w:color w:val="000000"/>
          <w:highlight w:val="white"/>
          <w:rtl w:val="0"/>
        </w:rPr>
        <w:t xml:space="preserve"> </w:t>
      </w:r>
      <w:r w:rsidDel="00000000" w:rsidR="00000000" w:rsidRPr="00000000">
        <w:rPr>
          <w:rtl w:val="0"/>
        </w:rPr>
        <w:t xml:space="preserve"> ADTs electronically communicate patient demographic and visit information, as well as the reason why the message is being sent; ex: pt discharged from the ER, or admitted to the hospital. When a patient’s record is updated, an ADT message is sent. This way, all systems, or parties, receiving the ADT message, are aware of the pts status and can have the patient’s current contact information, insurance, emergency contact, and attending provider.</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Ambulatory Care: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Ambulatory care refers to medical services performed on an outpatient basis, without admission to a hospital or other facility. Ambulatory care is provided in settings such as dialysis clinics, ambulatory surgical centers, hospital outpatient departments, and the offices of physicians and other health professionals.</w:t>
      </w:r>
    </w:p>
    <w:p w:rsidR="00000000" w:rsidDel="00000000" w:rsidP="00000000" w:rsidRDefault="00000000" w:rsidRPr="00000000" w14:paraId="00000007">
      <w:pPr>
        <w:rPr>
          <w:b w:val="1"/>
          <w:u w:val="singl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APM: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An Alternative Payment Model (APM) is a payment approach that gives added incentive payments to provide high-quality and cost-efficient care. APMs can apply to a specific clinical condition, a care episode, or a population.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an organization adopts one of the Center for Medicare and Medicaid Service (CMS) APMs, they agree to be paid according to the rules of that payment model, which is some variation of the Physician Fee Schedule (PFS) or a new model all together. APMs require healthcare organizations, usually a hospital and affiliated physician practices, to align themselves with the goal of taking better care of a population of patients, often defined by a geographic region. A common example of an APM is a Medicare Shared Savings Plan (MSSP) also known as an Accountable Care Organization (ACO).</w:t>
      </w:r>
    </w:p>
    <w:p w:rsidR="00000000" w:rsidDel="00000000" w:rsidP="00000000" w:rsidRDefault="00000000" w:rsidRPr="00000000" w14:paraId="00000009">
      <w:pPr>
        <w:rPr>
          <w:b w:val="1"/>
          <w:u w:val="singl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Behavioral Health: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Behavioral health is defined as the connection between behaviors and the health and well-being of the body, mind and spirit. This includes a wide variety of healthcare services, including: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Mental healthcare, Psychiatric care, Marriage and family counseling, and Substance abuse prevention, intervention, treatment, and recovery.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While the terms ‘</w:t>
      </w:r>
      <w:hyperlink r:id="rId9">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behavioral health</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‘mental health’ are often used interchangeably, they don’t always mean the same thing. Mental health focuses solely on a person’s psychological state, whereas behavioral health is a broader umbrella that can both incorporate physical and mental status.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D">
      <w:pPr>
        <w:rPr/>
      </w:pPr>
      <w:r w:rsidDel="00000000" w:rsidR="00000000" w:rsidRPr="00000000">
        <w:rPr>
          <w:b w:val="1"/>
          <w:u w:val="single"/>
          <w:rtl w:val="0"/>
        </w:rPr>
        <w:t xml:space="preserve">Bundled Payments:</w:t>
      </w:r>
      <w:r w:rsidDel="00000000" w:rsidR="00000000" w:rsidRPr="00000000">
        <w:rPr>
          <w:rtl w:val="0"/>
        </w:rPr>
        <w:t xml:space="preserve"> Under </w:t>
      </w:r>
      <w:hyperlink r:id="rId10">
        <w:r w:rsidDel="00000000" w:rsidR="00000000" w:rsidRPr="00000000">
          <w:rPr>
            <w:color w:val="000000"/>
            <w:u w:val="none"/>
            <w:rtl w:val="0"/>
          </w:rPr>
          <w:t xml:space="preserve">bundled payments</w:t>
        </w:r>
      </w:hyperlink>
      <w:r w:rsidDel="00000000" w:rsidR="00000000" w:rsidRPr="00000000">
        <w:rPr>
          <w:rtl w:val="0"/>
        </w:rPr>
        <w:t xml:space="preserve">, a single/fixed payment covers all services associated with an episode of care. An episode of care could be a hip replacement or cardiac surgery, for example, and could include any inpatient, outpatient, and rehabilitation care costs. The fixed price is determined by insurance companies based on the historical performance of the hospital and providers.  If healthcare providers in the bundle successfully generate additional savings and new efficiencies in care—such as better care coordination and less wasteful test ordering—these providers will generally be financially rewarded. If spending exceeds the predetermined bundle price, the healthcare providers will typically bear the financial risk. The goal of a bundled payment is to get providers to work collaboratively to provide a higher quality of care while controlling costs.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F">
      <w:pPr>
        <w:rPr>
          <w:b w:val="1"/>
          <w:u w:val="single"/>
        </w:rPr>
      </w:pPr>
      <w:r w:rsidDel="00000000" w:rsidR="00000000" w:rsidRPr="00000000">
        <w:rPr>
          <w:b w:val="1"/>
          <w:u w:val="single"/>
          <w:rtl w:val="0"/>
        </w:rPr>
        <w:t xml:space="preserve">Care Management: </w:t>
      </w:r>
      <w:r w:rsidDel="00000000" w:rsidR="00000000" w:rsidRPr="00000000">
        <w:rPr>
          <w:color w:val="222222"/>
          <w:highlight w:val="white"/>
          <w:rtl w:val="0"/>
        </w:rPr>
        <w:t xml:space="preserve">Care management (CM) is a set of activities intended to improve patient care and reduce the need for medical services by enhancing coordination of care, eliminating duplication of services, and helping patients and caregivers more effectively manage health conditions. </w:t>
      </w:r>
      <w:r w:rsidDel="00000000" w:rsidR="00000000" w:rsidRPr="00000000">
        <w:rPr>
          <w:color w:val="443b3b"/>
          <w:highlight w:val="white"/>
          <w:rtl w:val="0"/>
        </w:rPr>
        <w:t xml:space="preserve">These efforts have demonstrated the potential to improve the quality care and control costs for patients with complex conditions.</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b w:val="1"/>
          <w:u w:val="single"/>
          <w:rtl w:val="0"/>
        </w:rPr>
        <w:t xml:space="preserve">CEHRT:</w:t>
      </w:r>
      <w:r w:rsidDel="00000000" w:rsidR="00000000" w:rsidRPr="00000000">
        <w:rPr>
          <w:rtl w:val="0"/>
        </w:rPr>
        <w:t xml:space="preserve"> Certified EHR Technology:  </w:t>
      </w:r>
      <w:r w:rsidDel="00000000" w:rsidR="00000000" w:rsidRPr="00000000">
        <w:rPr>
          <w:color w:val="000000"/>
          <w:rtl w:val="0"/>
        </w:rPr>
        <w:t xml:space="preserve">In order to efficiently capture and share patient data, health care providers need an electronic health record (EHR) that stores data in a structured format. Structured data allows health care providers to easily retrieve and transfer patient information and use the EHR in ways </w:t>
      </w:r>
      <w:r w:rsidDel="00000000" w:rsidR="00000000" w:rsidRPr="00000000">
        <w:rPr>
          <w:rtl w:val="0"/>
        </w:rPr>
        <w:t xml:space="preserve">that can aid patient care.  CMS and the </w:t>
      </w:r>
      <w:hyperlink r:id="rId11">
        <w:r w:rsidDel="00000000" w:rsidR="00000000" w:rsidRPr="00000000">
          <w:rPr>
            <w:color w:val="000000"/>
            <w:u w:val="none"/>
            <w:rtl w:val="0"/>
          </w:rPr>
          <w:t xml:space="preserve">Office of the National Coordinator for Health Information Technology (ONC)</w:t>
        </w:r>
      </w:hyperlink>
      <w:r w:rsidDel="00000000" w:rsidR="00000000" w:rsidRPr="00000000">
        <w:rPr>
          <w:rtl w:val="0"/>
        </w:rPr>
        <w:t xml:space="preserve"> have established standards and other criteria for structured data that EHRs must meet in order to qualify for use in certain incentive and other payment programs.</w:t>
      </w:r>
      <w:r w:rsidDel="00000000" w:rsidR="00000000" w:rsidRPr="00000000">
        <w:rPr>
          <w:highlight w:val="white"/>
          <w:rtl w:val="0"/>
        </w:rPr>
        <w:t xml:space="preserve"> CEHRT gives assurance that an EHR system </w:t>
      </w:r>
      <w:r w:rsidDel="00000000" w:rsidR="00000000" w:rsidRPr="00000000">
        <w:rPr>
          <w:color w:val="000000"/>
          <w:highlight w:val="white"/>
          <w:rtl w:val="0"/>
        </w:rPr>
        <w:t xml:space="preserve">offers the necessary technological capability, functionality, and security. Certification also helps health care providers and patients be confident that the electronic health IT products and systems they use are secure, can maintain data </w:t>
      </w:r>
      <w:r w:rsidDel="00000000" w:rsidR="00000000" w:rsidRPr="00000000">
        <w:rPr>
          <w:highlight w:val="white"/>
          <w:rtl w:val="0"/>
        </w:rPr>
        <w:t xml:space="preserve">confidentiality</w:t>
      </w:r>
      <w:r w:rsidDel="00000000" w:rsidR="00000000" w:rsidRPr="00000000">
        <w:rPr>
          <w:color w:val="000000"/>
          <w:highlight w:val="white"/>
          <w:rtl w:val="0"/>
        </w:rPr>
        <w:t xml:space="preserve">, and can work with other systems to share information.</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Chronic Care: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Chronic care refers to medical care which addresses pre-existing or long-term illness, as opposed to acute care which is concerned with short term or severe illness of brief duration. </w:t>
      </w:r>
      <w:r w:rsidDel="00000000" w:rsidR="00000000" w:rsidRPr="00000000">
        <w:rPr>
          <w:rtl w:val="0"/>
        </w:rPr>
      </w:r>
    </w:p>
    <w:p w:rsidR="00000000" w:rsidDel="00000000" w:rsidP="00000000" w:rsidRDefault="00000000" w:rsidRPr="00000000" w14:paraId="00000014">
      <w:pPr>
        <w:rPr>
          <w:b w:val="1"/>
          <w:u w:val="singl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Claim(s):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Claims are medical bills submitted by a healthcare provider to insurance carriers for services rendered to patients.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It is what a provider submits to an insurance company to get paid. Specific standards must be met and required fields must be properly completed in order for payment to be processed.  Some of these standards and requirements apply to all claims and some are payer specific. </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CMMI: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Center for Medicare &amp; Medicaid Innovation (the Innovation Center) with CMS supports the development and testing of innovative health care payment and service delivery models aimed at achieving better care for patients, better health for our communities, and lower costs through improvement for our health care system.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Innovation Center also plays a critical role in implementing the </w:t>
      </w:r>
      <w:hyperlink r:id="rId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Payment Program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Congress created as part of the Medicare Access and CHIP Reauthorization Act of 2015 (MACRA) to replace Medicare’s Sustainable Growth Rate formula to pay for physicians’ and other providers’ services. In this new program, clinicians may earn incentive payments by participating to a sufficient extent in Advanced Alternative Payment Models (APMs). The Innovation Models are organized into seven categories.</w:t>
      </w:r>
    </w:p>
    <w:p w:rsidR="00000000" w:rsidDel="00000000" w:rsidP="00000000" w:rsidRDefault="00000000" w:rsidRPr="00000000" w14:paraId="00000018">
      <w:pPr>
        <w:rPr/>
      </w:pPr>
      <w:r w:rsidDel="00000000" w:rsidR="00000000" w:rsidRPr="00000000">
        <w:rPr>
          <w:b w:val="1"/>
          <w:u w:val="single"/>
          <w:rtl w:val="0"/>
        </w:rPr>
        <w:t xml:space="preserve">CMS: </w:t>
      </w:r>
      <w:r w:rsidDel="00000000" w:rsidR="00000000" w:rsidRPr="00000000">
        <w:rPr>
          <w:highlight w:val="white"/>
          <w:rtl w:val="0"/>
        </w:rPr>
        <w:t xml:space="preserve">The Centers for Medicare &amp; Medicaid Services, CMS, is part of the Department of Health and Human Services (HHS). It is a federal agency that administers the </w:t>
      </w:r>
      <w:hyperlink r:id="rId13">
        <w:r w:rsidDel="00000000" w:rsidR="00000000" w:rsidRPr="00000000">
          <w:rPr>
            <w:color w:val="000000"/>
            <w:highlight w:val="white"/>
            <w:u w:val="none"/>
            <w:rtl w:val="0"/>
          </w:rPr>
          <w:t xml:space="preserve">Medicare</w:t>
        </w:r>
      </w:hyperlink>
      <w:r w:rsidDel="00000000" w:rsidR="00000000" w:rsidRPr="00000000">
        <w:rPr>
          <w:highlight w:val="white"/>
          <w:rtl w:val="0"/>
        </w:rPr>
        <w:t xml:space="preserve"> program and works in partnership with state governments to administer </w:t>
      </w:r>
      <w:hyperlink r:id="rId14">
        <w:r w:rsidDel="00000000" w:rsidR="00000000" w:rsidRPr="00000000">
          <w:rPr>
            <w:color w:val="000000"/>
            <w:highlight w:val="white"/>
            <w:u w:val="none"/>
            <w:rtl w:val="0"/>
          </w:rPr>
          <w:t xml:space="preserve">Medicaid</w:t>
        </w:r>
      </w:hyperlink>
      <w:r w:rsidDel="00000000" w:rsidR="00000000" w:rsidRPr="00000000">
        <w:rPr>
          <w:highlight w:val="white"/>
          <w:rtl w:val="0"/>
        </w:rPr>
        <w:t xml:space="preserve">, and the </w:t>
      </w:r>
      <w:hyperlink r:id="rId15">
        <w:r w:rsidDel="00000000" w:rsidR="00000000" w:rsidRPr="00000000">
          <w:rPr>
            <w:color w:val="000000"/>
            <w:highlight w:val="white"/>
            <w:u w:val="none"/>
            <w:rtl w:val="0"/>
          </w:rPr>
          <w:t xml:space="preserve">Children's Health Insurance Program</w:t>
        </w:r>
      </w:hyperlink>
      <w:r w:rsidDel="00000000" w:rsidR="00000000" w:rsidRPr="00000000">
        <w:rPr>
          <w:highlight w:val="white"/>
          <w:rtl w:val="0"/>
        </w:rPr>
        <w:t xml:space="preserve"> (CHIP).  In addition to these programs, CMS is involved with </w:t>
      </w:r>
      <w:hyperlink r:id="rId16">
        <w:r w:rsidDel="00000000" w:rsidR="00000000" w:rsidRPr="00000000">
          <w:rPr>
            <w:color w:val="000000"/>
            <w:highlight w:val="white"/>
            <w:u w:val="none"/>
            <w:rtl w:val="0"/>
          </w:rPr>
          <w:t xml:space="preserve">Health Insurance Portability and Accountability Act</w:t>
        </w:r>
      </w:hyperlink>
      <w:r w:rsidDel="00000000" w:rsidR="00000000" w:rsidRPr="00000000">
        <w:rPr>
          <w:highlight w:val="white"/>
          <w:rtl w:val="0"/>
        </w:rPr>
        <w:t xml:space="preserve"> of 1996 (HIPAA), quality standards in </w:t>
      </w:r>
      <w:hyperlink r:id="rId17">
        <w:r w:rsidDel="00000000" w:rsidR="00000000" w:rsidRPr="00000000">
          <w:rPr>
            <w:color w:val="000000"/>
            <w:highlight w:val="white"/>
            <w:u w:val="none"/>
            <w:rtl w:val="0"/>
          </w:rPr>
          <w:t xml:space="preserve">long-term care</w:t>
        </w:r>
      </w:hyperlink>
      <w:r w:rsidDel="00000000" w:rsidR="00000000" w:rsidRPr="00000000">
        <w:rPr>
          <w:highlight w:val="white"/>
          <w:rtl w:val="0"/>
        </w:rPr>
        <w:t xml:space="preserve"> facilities /</w:t>
      </w:r>
      <w:hyperlink r:id="rId18">
        <w:r w:rsidDel="00000000" w:rsidR="00000000" w:rsidRPr="00000000">
          <w:rPr>
            <w:color w:val="000000"/>
            <w:highlight w:val="white"/>
            <w:u w:val="none"/>
            <w:rtl w:val="0"/>
          </w:rPr>
          <w:t xml:space="preserve">nursing homes</w:t>
        </w:r>
      </w:hyperlink>
      <w:r w:rsidDel="00000000" w:rsidR="00000000" w:rsidRPr="00000000">
        <w:rPr>
          <w:highlight w:val="white"/>
          <w:rtl w:val="0"/>
        </w:rPr>
        <w:t xml:space="preserve">, clinical laboratory quality standards under the </w:t>
      </w:r>
      <w:hyperlink r:id="rId19">
        <w:r w:rsidDel="00000000" w:rsidR="00000000" w:rsidRPr="00000000">
          <w:rPr>
            <w:color w:val="000000"/>
            <w:highlight w:val="white"/>
            <w:u w:val="none"/>
            <w:rtl w:val="0"/>
          </w:rPr>
          <w:t xml:space="preserve">Clinical Laboratory Improvement Amendments</w:t>
        </w:r>
      </w:hyperlink>
      <w:r w:rsidDel="00000000" w:rsidR="00000000" w:rsidRPr="00000000">
        <w:rPr>
          <w:highlight w:val="white"/>
          <w:rtl w:val="0"/>
        </w:rPr>
        <w:t xml:space="preserve">, and oversight of </w:t>
      </w:r>
      <w:hyperlink r:id="rId20">
        <w:r w:rsidDel="00000000" w:rsidR="00000000" w:rsidRPr="00000000">
          <w:rPr>
            <w:color w:val="000000"/>
            <w:highlight w:val="white"/>
            <w:u w:val="none"/>
            <w:rtl w:val="0"/>
          </w:rPr>
          <w:t xml:space="preserve">HealthCare.gov</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Covered Entity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Covered entities are defined by HIPAA as (1) health plans, (2) health care clearinghouses, and (3) health care providers who transmit any health information in connection with transactions for which HHS has adopted standards. Generally, these transactions concern billing and payment for services or insurance coverage. For example, hospitals, academic medical centers, physicians, and other health care providers who electronically transmit claims transaction information directly or through an intermediary to a health plan are covered entities. Covered entities can be institutions, organizations, or persons.</w:t>
      </w:r>
    </w:p>
    <w:p w:rsidR="00000000" w:rsidDel="00000000" w:rsidP="00000000" w:rsidRDefault="00000000" w:rsidRPr="00000000" w14:paraId="0000001A">
      <w:pPr>
        <w:rPr>
          <w:b w:val="1"/>
          <w:u w:val="single"/>
        </w:rPr>
      </w:pPr>
      <w:r w:rsidDel="00000000" w:rsidR="00000000" w:rsidRPr="00000000">
        <w:rPr>
          <w:b w:val="1"/>
          <w:u w:val="single"/>
          <w:rtl w:val="0"/>
        </w:rPr>
        <w:t xml:space="preserve">CPT: </w:t>
      </w:r>
      <w:r w:rsidDel="00000000" w:rsidR="00000000" w:rsidRPr="00000000">
        <w:rPr>
          <w:color w:val="212121"/>
          <w:highlight w:val="white"/>
          <w:rtl w:val="0"/>
        </w:rPr>
        <w:t xml:space="preserve">Common Procedural Technology (CPT codes) are numbers assigned to every task and service a medical practitioner may provide to a patient including medical, surgical, and diagnostic services. They are used by payers to determine the amount of reimbursement that a practitioner will receive by the insurer for that service. These codes are standard, ensure uniformity and are updated annually.</w:t>
      </w:r>
      <w:r w:rsidDel="00000000" w:rsidR="00000000" w:rsidRPr="00000000">
        <w:rPr>
          <w:rtl w:val="0"/>
        </w:rPr>
      </w:r>
    </w:p>
    <w:p w:rsidR="00000000" w:rsidDel="00000000" w:rsidP="00000000" w:rsidRDefault="00000000" w:rsidRPr="00000000" w14:paraId="0000001B">
      <w:pPr>
        <w:rPr>
          <w:b w:val="1"/>
          <w:u w:val="single"/>
        </w:rPr>
      </w:pPr>
      <w:sdt>
        <w:sdtPr>
          <w:tag w:val="goog_rdk_1"/>
        </w:sdtPr>
        <w:sdtContent>
          <w:commentRangeStart w:id="1"/>
        </w:sdtContent>
      </w:sdt>
      <w:r w:rsidDel="00000000" w:rsidR="00000000" w:rsidRPr="00000000">
        <w:rPr>
          <w:b w:val="1"/>
          <w:u w:val="single"/>
          <w:rtl w:val="0"/>
        </w:rPr>
        <w:t xml:space="preserve">D-H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b w:val="1"/>
          <w:u w:val="single"/>
          <w:rtl w:val="0"/>
        </w:rPr>
        <w:t xml:space="preserve">Direct Messaging: </w:t>
      </w:r>
      <w:r w:rsidDel="00000000" w:rsidR="00000000" w:rsidRPr="00000000">
        <w:rPr>
          <w:highlight w:val="white"/>
          <w:rtl w:val="0"/>
        </w:rPr>
        <w:t xml:space="preserve">Direct Messaging is a technical standard for securely exchanging health information between physicians, hospitals, labs, and other healthcare providers. It functions like e-mail but meets the rigid privacy and security measures of HIPAA. Unlike standard e-mail messages are encrypted. Each provider has a distinct Direct Address (e.g., </w:t>
      </w:r>
      <w:hyperlink r:id="rId21">
        <w:r w:rsidDel="00000000" w:rsidR="00000000" w:rsidRPr="00000000">
          <w:rPr>
            <w:color w:val="000000"/>
            <w:highlight w:val="white"/>
            <w:u w:val="none"/>
            <w:rtl w:val="0"/>
          </w:rPr>
          <w:t xml:space="preserve">DrJones@Direct.JonesFamilyPractice.com</w:t>
        </w:r>
      </w:hyperlink>
      <w:r w:rsidDel="00000000" w:rsidR="00000000" w:rsidRPr="00000000">
        <w:rPr>
          <w:highlight w:val="white"/>
          <w:rtl w:val="0"/>
        </w:rPr>
        <w:t xml:space="preserve">).  Direct Addresses are obtained from EHR vendors, a Health Information Exchange (HIE), or another certified entity with Direct Messaging capability.  </w:t>
      </w:r>
      <w:r w:rsidDel="00000000" w:rsidR="00000000" w:rsidRPr="00000000">
        <w:rPr>
          <w:rtl w:val="0"/>
        </w:rPr>
      </w:r>
    </w:p>
    <w:p w:rsidR="00000000" w:rsidDel="00000000" w:rsidP="00000000" w:rsidRDefault="00000000" w:rsidRPr="00000000" w14:paraId="0000001D">
      <w:pPr>
        <w:spacing w:after="280" w:before="280" w:line="240" w:lineRule="auto"/>
        <w:rPr>
          <w:color w:val="333333"/>
        </w:rPr>
      </w:pPr>
      <w:r w:rsidDel="00000000" w:rsidR="00000000" w:rsidRPr="00000000">
        <w:rPr>
          <w:b w:val="1"/>
          <w:u w:val="single"/>
          <w:rtl w:val="0"/>
        </w:rPr>
        <w:t xml:space="preserve">EHR: </w:t>
      </w:r>
      <w:r w:rsidDel="00000000" w:rsidR="00000000" w:rsidRPr="00000000">
        <w:rPr>
          <w:color w:val="333333"/>
          <w:rtl w:val="0"/>
        </w:rPr>
        <w:t xml:space="preserve">An </w:t>
      </w:r>
      <w:hyperlink r:id="rId22">
        <w:r w:rsidDel="00000000" w:rsidR="00000000" w:rsidRPr="00000000">
          <w:rPr>
            <w:color w:val="000000"/>
            <w:u w:val="none"/>
            <w:rtl w:val="0"/>
          </w:rPr>
          <w:t xml:space="preserve">electronic health record</w:t>
        </w:r>
      </w:hyperlink>
      <w:r w:rsidDel="00000000" w:rsidR="00000000" w:rsidRPr="00000000">
        <w:rPr>
          <w:rtl w:val="0"/>
        </w:rPr>
        <w:t xml:space="preserve"> (EHR) is a digital version of a patient’s medical chart. EHR Systems are real-time, patient-centered recor</w:t>
      </w:r>
      <w:r w:rsidDel="00000000" w:rsidR="00000000" w:rsidRPr="00000000">
        <w:rPr>
          <w:color w:val="333333"/>
          <w:rtl w:val="0"/>
        </w:rPr>
        <w:t xml:space="preserve">ds that make information available instantly and securely to authorized users. EHR systems contain the medical and treatment histories of all patients within a particular provider’s office or within an entire health system.  Additionally they have scheduling, billing and interoperability functions with entities outside of that office or health system.  EHRs aid in automating and streamlining provider workflow and are a vital part of health IT.</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Extended Care Facility/ Long Term Care Facility: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Extended Care and Long term care facilities are health care institutions for patients who require </w:t>
      </w:r>
      <w:r w:rsidDel="00000000" w:rsidR="00000000" w:rsidRPr="00000000">
        <w:rPr>
          <w:rtl w:val="0"/>
        </w:rPr>
        <w:t xml:space="preserve">long term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custodial, nursing, or medical care, especially for a chronic disease or prolonged rehabilitation. They are often referred to as Nursing Homes.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b w:val="1"/>
          <w:u w:val="single"/>
          <w:rtl w:val="0"/>
        </w:rPr>
        <w:t xml:space="preserve">Fee for Service: </w:t>
      </w:r>
      <w:r w:rsidDel="00000000" w:rsidR="00000000" w:rsidRPr="00000000">
        <w:rPr>
          <w:color w:val="222222"/>
          <w:highlight w:val="white"/>
          <w:rtl w:val="0"/>
        </w:rPr>
        <w:t xml:space="preserve">Fee-for-service is a system for health insurance payment in which a health care provider is paid a fee for each particular service rendered. </w:t>
      </w:r>
      <w:r w:rsidDel="00000000" w:rsidR="00000000" w:rsidRPr="00000000">
        <w:rPr>
          <w:color w:val="0a253f"/>
          <w:highlight w:val="white"/>
          <w:rtl w:val="0"/>
        </w:rPr>
        <w:t xml:space="preserve">This is the traditional payment model that healthcare organizations have been using for decades, and payment tends to focus on the volume and types of services performed and each service is billed at a predetermined rate.</w:t>
      </w:r>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021">
      <w:pPr>
        <w:rPr>
          <w:color w:val="242424"/>
          <w:highlight w:val="white"/>
        </w:rPr>
      </w:pPr>
      <w:r w:rsidDel="00000000" w:rsidR="00000000" w:rsidRPr="00000000">
        <w:rPr>
          <w:b w:val="1"/>
          <w:u w:val="single"/>
          <w:rtl w:val="0"/>
        </w:rPr>
        <w:t xml:space="preserve">FHIR: </w:t>
      </w:r>
      <w:r w:rsidDel="00000000" w:rsidR="00000000" w:rsidRPr="00000000">
        <w:rPr>
          <w:color w:val="000000"/>
          <w:highlight w:val="white"/>
          <w:rtl w:val="0"/>
        </w:rPr>
        <w:t xml:space="preserve">FHIR stands for Fast Healthcare Interoperability Resources. Developed by Health Level Seven International (commonly known as HL7), it’s an interoperability specification for the exchange of healthcare information electronically. The aim of FHIR is to address the growing digitization of the healthcare industry and </w:t>
      </w:r>
      <w:r w:rsidDel="00000000" w:rsidR="00000000" w:rsidRPr="00000000">
        <w:rPr>
          <w:color w:val="242424"/>
          <w:highlight w:val="white"/>
          <w:rtl w:val="0"/>
        </w:rPr>
        <w:t xml:space="preserve">is the next generation exchange framework being adopted by the healthcare community to advance interoperability.</w:t>
      </w:r>
    </w:p>
    <w:p w:rsidR="00000000" w:rsidDel="00000000" w:rsidP="00000000" w:rsidRDefault="00000000" w:rsidRPr="00000000" w14:paraId="00000022">
      <w:pPr>
        <w:rPr/>
      </w:pPr>
      <w:r w:rsidDel="00000000" w:rsidR="00000000" w:rsidRPr="00000000">
        <w:rPr>
          <w:b w:val="1"/>
          <w:u w:val="single"/>
          <w:rtl w:val="0"/>
        </w:rPr>
        <w:t xml:space="preserve">FQHC</w:t>
      </w:r>
      <w:r w:rsidDel="00000000" w:rsidR="00000000" w:rsidRPr="00000000">
        <w:rPr>
          <w:rtl w:val="0"/>
        </w:rPr>
        <w:t xml:space="preserve">: Federally Qualified Health Centers are community-based health care providers/centers that receive funds from the Health Resource and Services Administration (HRSA) Health Center Program to provide primary care services in underserved areas both rural and urban. They must meet a stringent set of requirements, including providing care on a sliding fee scale based on ability to pay and operating under a governing board that includes patients.  Federally Qualified Health Centers may be Community Health Centers, Migrant Health Centers, and Health Care for the Homeless, and Health Centers for Residents of Public Housing.</w:t>
      </w:r>
    </w:p>
    <w:p w:rsidR="00000000" w:rsidDel="00000000" w:rsidP="00000000" w:rsidRDefault="00000000" w:rsidRPr="00000000" w14:paraId="00000023">
      <w:pPr>
        <w:rPr/>
      </w:pPr>
      <w:r w:rsidDel="00000000" w:rsidR="00000000" w:rsidRPr="00000000">
        <w:rPr>
          <w:b w:val="1"/>
          <w:u w:val="single"/>
          <w:rtl w:val="0"/>
        </w:rPr>
        <w:t xml:space="preserve">GPO: </w:t>
      </w:r>
      <w:r w:rsidDel="00000000" w:rsidR="00000000" w:rsidRPr="00000000">
        <w:rPr>
          <w:b w:val="0"/>
          <w:highlight w:val="white"/>
          <w:rtl w:val="0"/>
        </w:rPr>
        <w:t xml:space="preserve">A group purchasing organization (GPO)</w:t>
      </w:r>
      <w:r w:rsidDel="00000000" w:rsidR="00000000" w:rsidRPr="00000000">
        <w:rPr>
          <w:b w:val="1"/>
          <w:highlight w:val="white"/>
          <w:rtl w:val="0"/>
        </w:rPr>
        <w:t xml:space="preserve"> </w:t>
      </w:r>
      <w:r w:rsidDel="00000000" w:rsidR="00000000" w:rsidRPr="00000000">
        <w:rPr>
          <w:highlight w:val="white"/>
          <w:rtl w:val="0"/>
        </w:rPr>
        <w:t xml:space="preserve">is an entity that helps healthcare </w:t>
      </w:r>
      <w:r w:rsidDel="00000000" w:rsidR="00000000" w:rsidRPr="00000000">
        <w:rPr>
          <w:rtl w:val="0"/>
        </w:rPr>
        <w:t xml:space="preserve">providers, such as hospitals, nursing homes and home health agencies, improve efficiency and increase savings by aggregating purchasing volume and using that leverage to negotiate discounts with manufacturers, distributors and other vendors. GPOs have been pioneering healthcare cost reduction strategies for several decades. </w:t>
      </w:r>
    </w:p>
    <w:p w:rsidR="00000000" w:rsidDel="00000000" w:rsidP="00000000" w:rsidRDefault="00000000" w:rsidRPr="00000000" w14:paraId="00000024">
      <w:pPr>
        <w:rPr>
          <w:b w:val="1"/>
          <w:u w:val="single"/>
        </w:rPr>
      </w:pPr>
      <w:r w:rsidDel="00000000" w:rsidR="00000000" w:rsidRPr="00000000">
        <w:rPr>
          <w:b w:val="1"/>
          <w:u w:val="single"/>
          <w:rtl w:val="0"/>
        </w:rPr>
        <w:t xml:space="preserve">GPRO: </w:t>
      </w:r>
      <w:r w:rsidDel="00000000" w:rsidR="00000000" w:rsidRPr="00000000">
        <w:rPr>
          <w:rtl w:val="0"/>
        </w:rPr>
        <w:t xml:space="preserve">The group practice reporting option (GPRO).  Providers participating in CMS Quality Payment Programs have the option to report their quality measures individually or as a group.  If reporting as a group it is known as GPRO. </w:t>
      </w:r>
      <w:r w:rsidDel="00000000" w:rsidR="00000000" w:rsidRPr="00000000">
        <w:rPr>
          <w:rtl w:val="0"/>
        </w:rPr>
      </w:r>
    </w:p>
    <w:p w:rsidR="00000000" w:rsidDel="00000000" w:rsidP="00000000" w:rsidRDefault="00000000" w:rsidRPr="00000000" w14:paraId="00000025">
      <w:pPr>
        <w:rPr/>
      </w:pPr>
      <w:r w:rsidDel="00000000" w:rsidR="00000000" w:rsidRPr="00000000">
        <w:rPr>
          <w:b w:val="1"/>
          <w:u w:val="single"/>
          <w:rtl w:val="0"/>
        </w:rPr>
        <w:t xml:space="preserve">HCC Coding:</w:t>
      </w:r>
      <w:r w:rsidDel="00000000" w:rsidR="00000000" w:rsidRPr="00000000">
        <w:rPr>
          <w:u w:val="single"/>
          <w:rtl w:val="0"/>
        </w:rPr>
        <w:t xml:space="preserve"> </w:t>
      </w:r>
      <w:r w:rsidDel="00000000" w:rsidR="00000000" w:rsidRPr="00000000">
        <w:rPr>
          <w:rtl w:val="0"/>
        </w:rPr>
        <w:t xml:space="preserve">Hierarchical Condition Category coding, or HCC Coding, was first implemented by the Centers for Medicare and Medicaid Services (CMS) in 2004, as a way for medical groups to estimate a patient's future health care costs in value-based payment models. HCC coding uses a patient’s historical diagnostic coding to predict future utilization and risk. This methodology creates a risk score for a patient that reflects their relative health or sickness. More than 9,500 diagnosis codes map to CMS’s 83 HCC codes.  Risk scores and HCCs are assessed annually.</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HCPCS: </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Healthcare Common Procedure Coding System (HCPCS) is a standardized code system necessary for medical providers to submit healthcare claims to Medicare and other health insurances in a consistent and orderly manner. HCPCS comprises two medical code sets, HCPCS Level I and HCPCS Level II.  HCPCS Level I consists of the </w:t>
      </w:r>
      <w:hyperlink r:id="rId2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Current Procedural Terminology (CPT</w:t>
        </w:r>
      </w:hyperlink>
      <w:hyperlink r:id="rId24">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hyperlink>
      <w:hyperlink r:id="rId2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code set and is used to submit medical claims to payers for procedures and services performed by healthcare providers, hospitals, laboratories, and outpatient facilities. HCPCS Level II is the national procedure code set used when filing health plan claims for medical devices, supplies, medications, transportation services, and other items and services.</w:t>
      </w:r>
    </w:p>
    <w:p w:rsidR="00000000" w:rsidDel="00000000" w:rsidP="00000000" w:rsidRDefault="00000000" w:rsidRPr="00000000" w14:paraId="00000027">
      <w:pPr>
        <w:rPr>
          <w:b w:val="1"/>
          <w:u w:val="single"/>
        </w:rPr>
      </w:pPr>
      <w:r w:rsidDel="00000000" w:rsidR="00000000" w:rsidRPr="00000000">
        <w:rPr>
          <w:b w:val="1"/>
          <w:u w:val="single"/>
          <w:rtl w:val="0"/>
        </w:rPr>
        <w:t xml:space="preserve">Health Literacy: </w:t>
      </w:r>
      <w:r w:rsidDel="00000000" w:rsidR="00000000" w:rsidRPr="00000000">
        <w:rPr>
          <w:color w:val="000000"/>
          <w:highlight w:val="white"/>
          <w:rtl w:val="0"/>
        </w:rPr>
        <w:t xml:space="preserve">The Patient Protection and Affordable Care Act of 2010, Title V, defines health literacy as the degree to which an individual has the capacity to obtain, communicate, process, and understand basic health information and services to make appropriate health decisions.</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c61f0c"/>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HHS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 Department of Health and Human Services protects the health of all Americans, provides essential human services and fosters advances in medicine, public health, and social services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29">
      <w:pPr>
        <w:rPr>
          <w:b w:val="1"/>
          <w:u w:val="single"/>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HIE: </w:t>
      </w:r>
      <w:r w:rsidDel="00000000" w:rsidR="00000000" w:rsidRPr="00000000">
        <w:rPr>
          <w:color w:val="333333"/>
          <w:rtl w:val="0"/>
        </w:rPr>
        <w:t xml:space="preserve">Health Information Exchanges allow the secure sharing of patient medical information electronically. The needs and requirements for health information exchanges differ from practice to practice, and the solutions available differ from state to state. Electronic health information exchanges improve the speed, quality, safety and cost of patient care.</w:t>
      </w:r>
      <w:r w:rsidDel="00000000" w:rsidR="00000000" w:rsidRPr="00000000">
        <w:rPr>
          <w:rtl w:val="0"/>
        </w:rPr>
      </w:r>
    </w:p>
    <w:p w:rsidR="00000000" w:rsidDel="00000000" w:rsidP="00000000" w:rsidRDefault="00000000" w:rsidRPr="00000000" w14:paraId="0000002B">
      <w:pPr>
        <w:rPr>
          <w:b w:val="1"/>
          <w:u w:val="single"/>
        </w:rPr>
      </w:pPr>
      <w:r w:rsidDel="00000000" w:rsidR="00000000" w:rsidRPr="00000000">
        <w:rPr>
          <w:b w:val="1"/>
          <w:u w:val="single"/>
          <w:rtl w:val="0"/>
        </w:rPr>
        <w:t xml:space="preserve">HIPAA: </w:t>
      </w:r>
      <w:r w:rsidDel="00000000" w:rsidR="00000000" w:rsidRPr="00000000">
        <w:rPr>
          <w:color w:val="000000"/>
          <w:highlight w:val="white"/>
          <w:rtl w:val="0"/>
        </w:rPr>
        <w:t xml:space="preserve">The Health Insurance Portability and Accountability Act of 1996 (HIPAA) is a federal law that </w:t>
      </w:r>
      <w:r w:rsidDel="00000000" w:rsidR="00000000" w:rsidRPr="00000000">
        <w:rPr>
          <w:color w:val="000000"/>
          <w:highlight w:val="white"/>
          <w:rtl w:val="0"/>
        </w:rPr>
        <w:t xml:space="preserve">required</w:t>
      </w:r>
      <w:r w:rsidDel="00000000" w:rsidR="00000000" w:rsidRPr="00000000">
        <w:rPr>
          <w:color w:val="000000"/>
          <w:highlight w:val="white"/>
          <w:rtl w:val="0"/>
        </w:rPr>
        <w:t xml:space="preserve"> the creation of national standards to protect sensitive patient health information from being disclosed without the patient’s consent or knowledge. HIPAA Privacy regulations require health care providers and organizations, as well as their business associates, to develop and follow procedures that ensure the confidentiality and security of protected health information (PHI) when it is transferred, received, handled, or shared.  This applies to all forms of PHI, including paper, oral, and electronic, etc.  Furthermore, only the minimum health information necessary to conduct business is to be used or shared. HIPAA provisions also safeguard the ability to transfer and continue health insurance coverage for millions of American workers and their families when they change or lose their jobs.</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HISP: </w:t>
      </w:r>
      <w:r w:rsidDel="00000000" w:rsidR="00000000" w:rsidRPr="00000000">
        <w:rPr>
          <w:rFonts w:ascii="Calibri" w:cs="Calibri" w:eastAsia="Calibri" w:hAnsi="Calibri"/>
          <w:b w:val="0"/>
          <w:i w:val="0"/>
          <w:smallCaps w:val="0"/>
          <w:strike w:val="0"/>
          <w:color w:val="777777"/>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 Information Service Provider, or HISP, is an </w:t>
      </w:r>
      <w:hyperlink r:id="rId2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accredited</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network service operator that enables nationwide clinical data exchange using </w:t>
      </w:r>
      <w:hyperlink r:id="rId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 Secure Messaging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(aka Direct, Direct Messaging and the Direct Project). Direct is a HIPAA compliant and </w:t>
      </w:r>
      <w:hyperlink r:id="rId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interoperable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transport method promoted by the Office of the National Coordinator of Health IT of the US Department of Health and Human Services </w:t>
      </w:r>
      <w:hyperlink r:id="rId2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(ONC/HHS)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HISPs and Direct are regulated and monitored by the </w:t>
      </w:r>
      <w:hyperlink r:id="rId3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DirectTrust.org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governance organization empowered by HHS. HISPs offer healthcare organizations (hospitals, physicians, health plans, health information exchanges) and consumers an onramp to the Direct Secure Messaging network where trading partners can exchange protected health information (PHI), in a structured and unstructured format, across the internet with maximum security and privacy.</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rPr>
          <w:b w:val="1"/>
          <w:u w:val="single"/>
        </w:rPr>
      </w:pPr>
      <w:r w:rsidDel="00000000" w:rsidR="00000000" w:rsidRPr="00000000">
        <w:rPr>
          <w:b w:val="1"/>
          <w:u w:val="single"/>
          <w:rtl w:val="0"/>
        </w:rPr>
        <w:t xml:space="preserve">HITECH: </w:t>
      </w:r>
      <w:r w:rsidDel="00000000" w:rsidR="00000000" w:rsidRPr="00000000">
        <w:rPr>
          <w:color w:val="000000"/>
          <w:highlight w:val="white"/>
          <w:rtl w:val="0"/>
        </w:rPr>
        <w:t xml:space="preserve">The Health Information Technology for Economic and Clinical Health (HITECH) Act, enacted as part of the American Recovery and Reinvestment Act of 2009, was signed into law on February 17, 2009, to promote the adoption and meaningful use of health information technology.  Subtitle D of the HITECH Act addresses the privacy and security concerns associated with the electronic transmission of health information, in part, through several provisions that strengthen the civil and criminal enforcement of HIPAA rules.  </w:t>
      </w:r>
      <w:r w:rsidDel="00000000" w:rsidR="00000000" w:rsidRPr="00000000">
        <w:rPr>
          <w:rtl w:val="0"/>
        </w:rPr>
      </w:r>
    </w:p>
    <w:p w:rsidR="00000000" w:rsidDel="00000000" w:rsidP="00000000" w:rsidRDefault="00000000" w:rsidRPr="00000000" w14:paraId="0000002F">
      <w:pPr>
        <w:rPr>
          <w:highlight w:val="white"/>
        </w:rPr>
      </w:pPr>
      <w:r w:rsidDel="00000000" w:rsidR="00000000" w:rsidRPr="00000000">
        <w:rPr>
          <w:b w:val="1"/>
          <w:u w:val="single"/>
          <w:rtl w:val="0"/>
        </w:rPr>
        <w:t xml:space="preserve">HL7</w:t>
      </w:r>
      <w:r w:rsidDel="00000000" w:rsidR="00000000" w:rsidRPr="00000000">
        <w:rPr>
          <w:rtl w:val="0"/>
        </w:rPr>
        <w:t xml:space="preserve">: Founded in 1987, Health Level Seven International (HL7) is a not-for-profit, accredited standards developing organization dedicated to providing a comprehensive framework and related standards for the exchange, integration, sharing and retrieval of electronic health information that supports clinical practice and the management, delivery and evaluation of health services. HL7 is supported by more than 1,600 members from over 50 countries, including 500+ corporate members representing healthcare providers, government stakeholders, payers, pharmaceutical companies, vendors/suppliers, and consulting firms. </w:t>
      </w:r>
      <w:r w:rsidDel="00000000" w:rsidR="00000000" w:rsidRPr="00000000">
        <w:rPr>
          <w:highlight w:val="white"/>
          <w:rtl w:val="0"/>
        </w:rPr>
        <w:t xml:space="preserve"> HL7's Version 2 (V2) is a widely adopted "messaging standard" around the globe.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HPSA: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Health Professional Shortage Areas (HPSAs) are geographic areas, or populations within geographic areas, that lack sufficient health care providers to meet the health care needs of the area or population. HPSAs identify areas of greater need throughout the United States (U.S.) so that limited resources can go to those areas. The Health Resources and Services Administration (HRSA) designates areas as HPSAs based on census tracts, townships, or counties. Designations are made for primary care and mental health.</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rPr>
          <w:b w:val="1"/>
          <w:u w:val="single"/>
        </w:rPr>
      </w:pPr>
      <w:sdt>
        <w:sdtPr>
          <w:tag w:val="goog_rdk_2"/>
        </w:sdtPr>
        <w:sdtContent>
          <w:commentRangeStart w:id="2"/>
        </w:sdtContent>
      </w:sdt>
      <w:r w:rsidDel="00000000" w:rsidR="00000000" w:rsidRPr="00000000">
        <w:rPr>
          <w:b w:val="1"/>
          <w:u w:val="single"/>
          <w:rtl w:val="0"/>
        </w:rPr>
        <w:t xml:space="preserve">I-P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4">
      <w:pPr>
        <w:rPr/>
      </w:pPr>
      <w:r w:rsidDel="00000000" w:rsidR="00000000" w:rsidRPr="00000000">
        <w:rPr>
          <w:b w:val="1"/>
          <w:u w:val="single"/>
          <w:rtl w:val="0"/>
        </w:rPr>
        <w:t xml:space="preserve">ICD-10</w:t>
      </w:r>
      <w:r w:rsidDel="00000000" w:rsidR="00000000" w:rsidRPr="00000000">
        <w:rPr>
          <w:rtl w:val="0"/>
        </w:rPr>
        <w:t xml:space="preserve">: The International Classification of Diseases, Tenth Revision, is a system which uses unique </w:t>
      </w:r>
      <w:hyperlink r:id="rId31">
        <w:r w:rsidDel="00000000" w:rsidR="00000000" w:rsidRPr="00000000">
          <w:rPr>
            <w:color w:val="000000"/>
            <w:u w:val="none"/>
            <w:rtl w:val="0"/>
          </w:rPr>
          <w:t xml:space="preserve">alphanumeric</w:t>
        </w:r>
      </w:hyperlink>
      <w:r w:rsidDel="00000000" w:rsidR="00000000" w:rsidRPr="00000000">
        <w:rPr>
          <w:rtl w:val="0"/>
        </w:rPr>
        <w:t xml:space="preserve"> codes to identify known diseases and other health problems and is used by physicians and other healthcare providers to classify and code all patient diagnoses, symptoms and procedures. This diagnosis code system is based on the International Classification of Diseases, which is published by the World Health Organization (WHO). Healthcare professionals also use ICD codes for historic diagnostic reference.  Additionally ICD-10 codes are used in the compilation of national mortality and morbidity statistics.</w:t>
      </w:r>
    </w:p>
    <w:p w:rsidR="00000000" w:rsidDel="00000000" w:rsidP="00000000" w:rsidRDefault="00000000" w:rsidRPr="00000000" w14:paraId="00000035">
      <w:pPr>
        <w:rPr>
          <w:b w:val="1"/>
          <w:u w:val="single"/>
        </w:rPr>
      </w:pPr>
      <w:r w:rsidDel="00000000" w:rsidR="00000000" w:rsidRPr="00000000">
        <w:rPr>
          <w:b w:val="1"/>
          <w:u w:val="single"/>
          <w:rtl w:val="0"/>
        </w:rPr>
        <w:t xml:space="preserve">Integration </w:t>
      </w:r>
      <w:r w:rsidDel="00000000" w:rsidR="00000000" w:rsidRPr="00000000">
        <w:rPr>
          <w:color w:val="444444"/>
          <w:highlight w:val="white"/>
          <w:rtl w:val="0"/>
        </w:rPr>
        <w:t xml:space="preserve">Healthcare integration is the partnership between healthcare providers, payers, vendors, etc. that brings the data or function from one application program to that of another. Because of the sheer mass and diversity of data, healthcare providers face major challenges in integrating and effectively analyzing healthcare information. Traditional health IT systems, such as electronic health record (EHR) and personal health record (PHR) systems, utilize completely different technical and semantic standards to depict and house data and are based on exclusive technical architectures therefore making it  difficult to properly and easily integrate data from multiple, conflicting systems.</w:t>
      </w: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b w:val="1"/>
          <w:u w:val="single"/>
          <w:rtl w:val="0"/>
        </w:rPr>
        <w:t xml:space="preserve">Interoperability:</w:t>
      </w:r>
      <w:r w:rsidDel="00000000" w:rsidR="00000000" w:rsidRPr="00000000">
        <w:rPr>
          <w:rtl w:val="0"/>
        </w:rPr>
        <w:t xml:space="preserve"> Interoperability means the ability of health information systems to work together within and across organizational boundaries in order to advance the effective delivery of healthcare for individuals and communities. Interoperability is the ability of different information systems, devices and applications (‘systems’) to access, exchange, integrate and cooperatively use data in a coordinated manner, within and across organizational, regional and national boundaries, to provide timely and seamless portability of information and optimize the health of individuals and populations globally. </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666666"/>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MACRA: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Medicare Access and CHIP Reauthorization Act of 2015.  </w:t>
      </w:r>
      <w:r w:rsidDel="00000000" w:rsidR="00000000" w:rsidRPr="00000000">
        <w:rPr>
          <w:rFonts w:ascii="Calibri" w:cs="Calibri" w:eastAsia="Calibri" w:hAnsi="Calibri"/>
          <w:b w:val="0"/>
          <w:i w:val="0"/>
          <w:smallCaps w:val="0"/>
          <w:strike w:val="0"/>
          <w:color w:val="666666"/>
          <w:sz w:val="22"/>
          <w:szCs w:val="22"/>
          <w:u w:val="none"/>
          <w:shd w:fill="auto" w:val="clear"/>
          <w:vertAlign w:val="baseline"/>
          <w:rtl w:val="0"/>
        </w:rPr>
        <w:t xml:space="preserve">At a very high level, MACRA: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666666"/>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Repealed the flawed Medicare sustainable growth rate (SGR) formula that calculated payment cuts for physicians.</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 new framework for rewarding physicians for providing higher quality care by establishing two tracks for Medicare payment: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r:id="rId3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Merit-based Incentive Payment System (MIPS)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r:id="rId3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Advanced Alternative Payment Models (AAPMs)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Consolidated three previous quality reporting programs [Physician Quality Reporting System (PQRS), Value-based Payment Modifier (VBPM), and Meaningful Use (MU)], plus added a new performance category, called improvement activities (IA), into a single system through the Merit-based Incentive Payment System (MIPS).</w:t>
      </w:r>
    </w:p>
    <w:p w:rsidR="00000000" w:rsidDel="00000000" w:rsidP="00000000" w:rsidRDefault="00000000" w:rsidRPr="00000000" w14:paraId="0000003D">
      <w:pPr>
        <w:rPr>
          <w:b w:val="1"/>
          <w:u w:val="singl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Meaningful Use: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Meaningful Use was and CMS quality reporting program that was defined by the use of certified EHR technology in a meaningful manner (for example electronic prescribing); ensuring that the certified EHR technology connects in a manner that provides for the electronic exchange of health information to improve the quality of care. By using certified EHR technology, providers were required to submit to the Secretary of Health &amp; Human Services (HHS) data on the quality of care and other measures.  Historically, the program consisted of three stages and included upward, downward or neutral adjustments to Medicare reimbursement based on provider performance. </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With the introduction of the Medicare Access and CHIP Reauthorization Act (MACRA), the Meaningful Use incentive program, was transitioned to become one of the four components of the new Merit-Based Incentive Payment System (MIPS).</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MIPS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Merit-based Incentive Payment System (MIPS) consolidates previous CMS quality reporting programs. The system also added a new performance category, called improvement activities (IA). Scores from the four categories are combined to establish a final score (0-100) that will be compared against a threshold. The final score is then used to determine physician payment adjustments. The categories that make up the MIPS final score are: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Quality—based on PQRS;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Cost—based on VBPM;</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Promoting Interoperability (PI)—based on MU; and</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Improvement activities—new performance category.</w:t>
      </w:r>
    </w:p>
    <w:p w:rsidR="00000000" w:rsidDel="00000000" w:rsidP="00000000" w:rsidRDefault="00000000" w:rsidRPr="00000000" w14:paraId="00000044">
      <w:pPr>
        <w:rPr>
          <w:b w:val="1"/>
          <w:u w:val="singl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MSSP: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Medicare Shared Savings Program offers providers and suppliers (e.g., physicians, hospitals, and others involved in patient care) an opportunity to create an Accountable Care Organization (ACO). An ACO agrees to be held accountable for the quality, cost, and experience of care of an assigned Medicare fee-for-service (FFS) beneficiary population. The Shared Savings Program has different tracks that allow ACOs to select an arrangement that makes the most sense for their organization. The Shared Savings Program is an important innovation for moving CMS' payment system away from volume and toward value and outcomes. It is an alternative payment model that: promotes accountability for a patient population, coordinates items and services for Medicare FFS beneficiaries and encourages investment in high quality and efficient services.</w:t>
      </w:r>
    </w:p>
    <w:p w:rsidR="00000000" w:rsidDel="00000000" w:rsidP="00000000" w:rsidRDefault="00000000" w:rsidRPr="00000000" w14:paraId="00000046">
      <w:pPr>
        <w:rPr>
          <w:b w:val="1"/>
          <w:u w:val="single"/>
        </w:rPr>
      </w:pPr>
      <w:r w:rsidDel="00000000" w:rsidR="00000000" w:rsidRPr="00000000">
        <w:rPr>
          <w:b w:val="1"/>
          <w:u w:val="single"/>
          <w:rtl w:val="0"/>
        </w:rPr>
        <w:t xml:space="preserve">NPI: </w:t>
      </w:r>
      <w:r w:rsidDel="00000000" w:rsidR="00000000" w:rsidRPr="00000000">
        <w:rPr>
          <w:color w:val="000000"/>
          <w:highlight w:val="white"/>
          <w:rtl w:val="0"/>
        </w:rPr>
        <w:t xml:space="preserve">The National Provider Identifier (NPI) is a Health Insurance Portability and Accountability Act (HIPAA) Administrative Simplification Standard. The NPI is a unique identification number for covered health care providers. Covered health care providers and all health plans and health care clearinghouses must use the NPIs in the administrative and financial transactions adopted under HIPAA. The NPI is a 10-position, intelligence-free numeric identifier (10-digit number). This means that the numbers do not carry other information about healthcare providers, such as the state in which they live or their medical specialty. Providers must also share their NPI with other providers, health plans, clearinghouses, and any entity that may need it for billing purposes.</w:t>
      </w:r>
      <w:r w:rsidDel="00000000" w:rsidR="00000000" w:rsidRPr="00000000">
        <w:rPr>
          <w:rtl w:val="0"/>
        </w:rPr>
      </w:r>
    </w:p>
    <w:p w:rsidR="00000000" w:rsidDel="00000000" w:rsidP="00000000" w:rsidRDefault="00000000" w:rsidRPr="00000000" w14:paraId="00000047">
      <w:pPr>
        <w:rPr>
          <w:color w:val="000000"/>
          <w:highlight w:val="white"/>
        </w:rPr>
      </w:pPr>
      <w:r w:rsidDel="00000000" w:rsidR="00000000" w:rsidRPr="00000000">
        <w:rPr>
          <w:b w:val="1"/>
          <w:u w:val="single"/>
          <w:rtl w:val="0"/>
        </w:rPr>
        <w:t xml:space="preserve">OCR: </w:t>
      </w:r>
      <w:r w:rsidDel="00000000" w:rsidR="00000000" w:rsidRPr="00000000">
        <w:rPr>
          <w:color w:val="000000"/>
          <w:highlight w:val="white"/>
          <w:rtl w:val="0"/>
        </w:rPr>
        <w:t xml:space="preserve">The U.S. Department of Health and Human Services (HHS) Office for Civil Rights (OCR) enforces federal civil rights laws, conscience and religious freedom laws, the Health Insurance Portability and Accountability Act (HIPAA) Privacy, Security, and Breach Notification Rules, and the Patient Safety Act and Rule, which together protect your fundamental rights of nondiscrimination, conscience, religious freedom, and health information privacy. </w:t>
      </w:r>
    </w:p>
    <w:p w:rsidR="00000000" w:rsidDel="00000000" w:rsidP="00000000" w:rsidRDefault="00000000" w:rsidRPr="00000000" w14:paraId="00000048">
      <w:pPr>
        <w:rPr/>
      </w:pPr>
      <w:r w:rsidDel="00000000" w:rsidR="00000000" w:rsidRPr="00000000">
        <w:rPr>
          <w:b w:val="1"/>
          <w:highlight w:val="white"/>
          <w:u w:val="single"/>
          <w:rtl w:val="0"/>
        </w:rPr>
        <w:t xml:space="preserve">OCR</w:t>
      </w:r>
      <w:r w:rsidDel="00000000" w:rsidR="00000000" w:rsidRPr="00000000">
        <w:rPr>
          <w:color w:val="000000"/>
          <w:highlight w:val="white"/>
          <w:rtl w:val="0"/>
        </w:rPr>
        <w:t xml:space="preserve">: </w:t>
      </w:r>
      <w:r w:rsidDel="00000000" w:rsidR="00000000" w:rsidRPr="00000000">
        <w:rPr>
          <w:rtl w:val="0"/>
        </w:rPr>
        <w:t xml:space="preserve">Optical Character Recognition is one of the most important features a scanner can provide to a healthcare setting for </w:t>
      </w:r>
      <w:hyperlink r:id="rId34">
        <w:r w:rsidDel="00000000" w:rsidR="00000000" w:rsidRPr="00000000">
          <w:rPr>
            <w:color w:val="000000"/>
            <w:u w:val="none"/>
            <w:rtl w:val="0"/>
          </w:rPr>
          <w:t xml:space="preserve">medical records scanning</w:t>
        </w:r>
      </w:hyperlink>
      <w:r w:rsidDel="00000000" w:rsidR="00000000" w:rsidRPr="00000000">
        <w:rPr>
          <w:rtl w:val="0"/>
        </w:rPr>
        <w:t xml:space="preserve"> and indexing. Optical character recognition is the electronic conversion of images of typed, handwritten or printed text into machine-encoded text.</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ONC: </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The Office of the National Coordinator for Health Information Technology (ONC) is at the forefront of health IT efforts and is a resource to the entire health system to support the adoption of health information technology and the promotion of nationwide health information exchange to improve health care. ONC is organizationally located within the Office of the Secretary for the U.S. Department of Health and Human Services (HHS).  The position of National Coordinator was created in 2004, through an Executive Order, and legislatively mandated in the Health Information Technology for Economic and Clinical Health Act (</w:t>
      </w:r>
      <w:hyperlink r:id="rId3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HITECH Act</w:t>
        </w:r>
      </w:hyperlink>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of 2009.</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PACS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02122"/>
          <w:sz w:val="21"/>
          <w:szCs w:val="21"/>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Picture archiving and communication system (PACS) is a </w:t>
      </w:r>
      <w:hyperlink r:id="rId36">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medical imaging</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technology which provides storage and access to images from multiple machine types such as x-ray, CT or ultrasound.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stored </w:t>
      </w:r>
      <w:hyperlink r:id="rId37">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electronic images</w:t>
        </w:r>
      </w:hyperlink>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reports can be transmitted digitally. </w:t>
      </w: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ffffff" w:val="clear"/>
        <w:spacing w:after="343" w:before="0" w:line="240" w:lineRule="auto"/>
        <w:ind w:left="0" w:right="0" w:firstLine="0"/>
        <w:jc w:val="left"/>
        <w:rPr>
          <w:rFonts w:ascii="Calibri" w:cs="Calibri" w:eastAsia="Calibri" w:hAnsi="Calibri"/>
          <w:b w:val="0"/>
          <w:i w:val="0"/>
          <w:smallCaps w:val="0"/>
          <w:strike w:val="0"/>
          <w:color w:val="44444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Patient Portal: </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A patient portal is a secure online website that gives patients convenient, 24-hour access to personal health information from anywhere with an Internet connection. Using a secure username and password, patients can view health information such as:</w:t>
      </w:r>
      <w:r w:rsidDel="00000000" w:rsidR="00000000" w:rsidRPr="00000000">
        <w:rPr>
          <w:rFonts w:ascii="Calibri" w:cs="Calibri" w:eastAsia="Calibri" w:hAnsi="Calibri"/>
          <w:b w:val="0"/>
          <w:i w:val="0"/>
          <w:smallCaps w:val="0"/>
          <w:strike w:val="0"/>
          <w:color w:val="444444"/>
          <w:sz w:val="22"/>
          <w:szCs w:val="22"/>
          <w:u w:val="none"/>
          <w:shd w:fill="auto" w:val="clear"/>
          <w:vertAlign w:val="baseline"/>
          <w:rtl w:val="0"/>
        </w:rPr>
        <w:t xml:space="preserve">  provider visits, test results, billing, prescriptions, and so on. Patients can also e-mail their provider questions through a patient portal.</w:t>
      </w:r>
    </w:p>
    <w:p w:rsidR="00000000" w:rsidDel="00000000" w:rsidP="00000000" w:rsidRDefault="00000000" w:rsidRPr="00000000" w14:paraId="0000004D">
      <w:pPr>
        <w:rPr>
          <w:b w:val="1"/>
          <w:u w:val="single"/>
        </w:rPr>
      </w:pPr>
      <w:r w:rsidDel="00000000" w:rsidR="00000000" w:rsidRPr="00000000">
        <w:rPr>
          <w:b w:val="1"/>
          <w:u w:val="single"/>
          <w:rtl w:val="0"/>
        </w:rPr>
        <w:t xml:space="preserve">Pay for Performance: </w:t>
      </w:r>
      <w:r w:rsidDel="00000000" w:rsidR="00000000" w:rsidRPr="00000000">
        <w:rPr>
          <w:color w:val="1a1a1a"/>
          <w:highlight w:val="white"/>
          <w:rtl w:val="0"/>
        </w:rPr>
        <w:t xml:space="preserve">Pay for Performance in healthcare (P4P), also known as value-based payment, comprises payment models that attach financial incentives/disincentives to provider performance. P4P is part of the overall national strategy to transition healthcare to value-based medicine. While it still utilizes the fee-for-service system, it nudges providers </w:t>
      </w:r>
      <w:r w:rsidDel="00000000" w:rsidR="00000000" w:rsidRPr="00000000">
        <w:rPr>
          <w:highlight w:val="white"/>
          <w:rtl w:val="0"/>
        </w:rPr>
        <w:t xml:space="preserve">toward </w:t>
      </w:r>
      <w:hyperlink r:id="rId38">
        <w:r w:rsidDel="00000000" w:rsidR="00000000" w:rsidRPr="00000000">
          <w:rPr>
            <w:color w:val="000000"/>
            <w:highlight w:val="white"/>
            <w:u w:val="none"/>
            <w:rtl w:val="0"/>
          </w:rPr>
          <w:t xml:space="preserve">value-based care</w:t>
        </w:r>
      </w:hyperlink>
      <w:r w:rsidDel="00000000" w:rsidR="00000000" w:rsidRPr="00000000">
        <w:rPr>
          <w:color w:val="1a1a1a"/>
          <w:highlight w:val="white"/>
          <w:rtl w:val="0"/>
        </w:rPr>
        <w:t xml:space="preserve"> because it ties reimbursement to metric-driven outcomes, proven best practices, and patient satisfaction, thus aligning payment with value and quality.</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PHI: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PHI stands for Protected Health Information.  The HIPAA Privacy Rule provides federal protections for personal health information held by covered entities and gives patients an array of rights with respect to that information. At the same time, the Privacy Rule is balanced so that it permits the disclosure of personal health information needed for patient care and other important purposes. P</w:t>
      </w: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rotected health information is considered to be individually identifiable information relating to the past, present, or future health status of an individual that is created, collected, or transmitted, or maintained by a HIPAA-covered entity in relation to the provision of healthcare, payment for healthcare services, or use in healthcare operations. Health information such as diagnoses, treatment information, medical test results, and prescription information are considered protected health information under HIPAA, as are national identification numbers and demographic information such as birth dates, gender, ethnicity, and contact and emergency contact information. PHI relates to physical records, while ePHI is any PHI that is created, stored, transmitted, or received electronically.</w:t>
      </w:r>
      <w:r w:rsidDel="00000000" w:rsidR="00000000" w:rsidRPr="00000000">
        <w:rPr>
          <w:rtl w:val="0"/>
        </w:rPr>
      </w:r>
    </w:p>
    <w:p w:rsidR="00000000" w:rsidDel="00000000" w:rsidP="00000000" w:rsidRDefault="00000000" w:rsidRPr="00000000" w14:paraId="0000004F">
      <w:pPr>
        <w:rPr>
          <w:b w:val="1"/>
          <w:u w:val="single"/>
        </w:rPr>
      </w:pPr>
      <w:r w:rsidDel="00000000" w:rsidR="00000000" w:rsidRPr="00000000">
        <w:rPr>
          <w:b w:val="1"/>
          <w:u w:val="single"/>
          <w:rtl w:val="0"/>
        </w:rPr>
        <w:t xml:space="preserve">PHR:</w:t>
      </w:r>
      <w:r w:rsidDel="00000000" w:rsidR="00000000" w:rsidRPr="00000000">
        <w:rPr>
          <w:rtl w:val="0"/>
        </w:rPr>
        <w:t xml:space="preserve"> A personal health record is a collection of information pertinent to a patient’s health. A PHR may include: contact information for the patient and their family members, a list of providers involved in the patient’s care, diagnosis lists, medications lists, allergy lists, Immunization history, lab and diagnostic test results, and family medical history. A PHR is a record controlled by the individual and may include health information from a variety of sources, including multiple health care providers and the patients themselves. The PHR is separate from, and does not replace the legal record of any health care provider.</w:t>
      </w:r>
      <w:r w:rsidDel="00000000" w:rsidR="00000000" w:rsidRPr="00000000">
        <w:rPr>
          <w:rtl w:val="0"/>
        </w:rPr>
      </w:r>
    </w:p>
    <w:p w:rsidR="00000000" w:rsidDel="00000000" w:rsidP="00000000" w:rsidRDefault="00000000" w:rsidRPr="00000000" w14:paraId="00000050">
      <w:pPr>
        <w:rPr>
          <w:b w:val="1"/>
          <w:u w:val="single"/>
        </w:rPr>
      </w:pPr>
      <w:r w:rsidDel="00000000" w:rsidR="00000000" w:rsidRPr="00000000">
        <w:rPr>
          <w:b w:val="1"/>
          <w:u w:val="single"/>
          <w:rtl w:val="0"/>
        </w:rPr>
        <w:t xml:space="preserve">Physician Fee Schedule: </w:t>
      </w:r>
      <w:r w:rsidDel="00000000" w:rsidR="00000000" w:rsidRPr="00000000">
        <w:rPr>
          <w:color w:val="000000"/>
          <w:highlight w:val="white"/>
          <w:rtl w:val="0"/>
        </w:rPr>
        <w:t xml:space="preserve">The PFS, or fee schedule, is a complete listing of fees used by Medicare to pay doctors or other providers/suppliers.  This comprehensive listing of fee maximums is used to reimburse a physician and/or other providers on a fee-for-service basis.  CMS develops fee schedules for physicians, ambulance services, clinical laboratory services, and durable medical equipment, prosthetics, orthotics, and supplies and makes </w:t>
      </w:r>
      <w:r w:rsidDel="00000000" w:rsidR="00000000" w:rsidRPr="00000000">
        <w:rPr>
          <w:highlight w:val="white"/>
          <w:rtl w:val="0"/>
        </w:rPr>
        <w:t xml:space="preserve">updates</w:t>
      </w:r>
      <w:r w:rsidDel="00000000" w:rsidR="00000000" w:rsidRPr="00000000">
        <w:rPr>
          <w:color w:val="000000"/>
          <w:highlight w:val="white"/>
          <w:rtl w:val="0"/>
        </w:rPr>
        <w:t xml:space="preserve"> annually.</w:t>
      </w:r>
      <w:r w:rsidDel="00000000" w:rsidR="00000000" w:rsidRPr="00000000">
        <w:rPr>
          <w:rtl w:val="0"/>
        </w:rPr>
      </w:r>
    </w:p>
    <w:p w:rsidR="00000000" w:rsidDel="00000000" w:rsidP="00000000" w:rsidRDefault="00000000" w:rsidRPr="00000000" w14:paraId="00000051">
      <w:pPr>
        <w:rPr/>
      </w:pPr>
      <w:r w:rsidDel="00000000" w:rsidR="00000000" w:rsidRPr="00000000">
        <w:rPr>
          <w:b w:val="1"/>
          <w:u w:val="single"/>
          <w:rtl w:val="0"/>
        </w:rPr>
        <w:t xml:space="preserve">Population Health</w:t>
      </w:r>
      <w:r w:rsidDel="00000000" w:rsidR="00000000" w:rsidRPr="00000000">
        <w:rPr>
          <w:rtl w:val="0"/>
        </w:rPr>
        <w:t xml:space="preserve">: Population health is defined as “the health outcomes of a group of individuals, including the distribution of such outcomes within the group.” These groups can be geographic populations such as counties or communities, or can be other groups such as employees, ethnic groups, persons with a specific diagnosis, or any other defined group. The health outcomes of such groups are of relevance to policy makers in both the public and private sectors. Additionally population health is not just the overall health of a population but also includes the distribution of health and </w:t>
      </w:r>
      <w:r w:rsidDel="00000000" w:rsidR="00000000" w:rsidRPr="00000000">
        <w:rPr>
          <w:highlight w:val="white"/>
          <w:rtl w:val="0"/>
        </w:rPr>
        <w:t xml:space="preserve">includes health status, health outcomes and the social and physical environments in which these patients live.</w:t>
      </w:r>
      <w:r w:rsidDel="00000000" w:rsidR="00000000" w:rsidRPr="00000000">
        <w:rPr>
          <w:rtl w:val="0"/>
        </w:rPr>
      </w:r>
    </w:p>
    <w:p w:rsidR="00000000" w:rsidDel="00000000" w:rsidP="00000000" w:rsidRDefault="00000000" w:rsidRPr="00000000" w14:paraId="00000052">
      <w:pPr>
        <w:rPr>
          <w:b w:val="1"/>
          <w:u w:val="single"/>
        </w:rPr>
      </w:pPr>
      <w:r w:rsidDel="00000000" w:rsidR="00000000" w:rsidRPr="00000000">
        <w:rPr>
          <w:b w:val="1"/>
          <w:u w:val="single"/>
          <w:rtl w:val="0"/>
        </w:rPr>
        <w:t xml:space="preserve">PQRS: </w:t>
      </w:r>
      <w:r w:rsidDel="00000000" w:rsidR="00000000" w:rsidRPr="00000000">
        <w:rPr>
          <w:rtl w:val="0"/>
        </w:rPr>
        <w:t xml:space="preserve">Physician Quality Reporting System (PQRS) </w:t>
      </w:r>
      <w:r w:rsidDel="00000000" w:rsidR="00000000" w:rsidRPr="00000000">
        <w:rPr>
          <w:highlight w:val="white"/>
          <w:rtl w:val="0"/>
        </w:rPr>
        <w:t xml:space="preserve">program encouraged eligible providers to report quality measures intended to improve care and show opportunities for improvement. Participation in the program, which utilized value-based modifier calculations, was required to avoid payment reductions.</w:t>
      </w:r>
      <w:r w:rsidDel="00000000" w:rsidR="00000000" w:rsidRPr="00000000">
        <w:rPr>
          <w:rtl w:val="0"/>
        </w:rPr>
      </w:r>
    </w:p>
    <w:p w:rsidR="00000000" w:rsidDel="00000000" w:rsidP="00000000" w:rsidRDefault="00000000" w:rsidRPr="00000000" w14:paraId="00000053">
      <w:pPr>
        <w:rPr>
          <w:highlight w:val="white"/>
        </w:rPr>
      </w:pPr>
      <w:r w:rsidDel="00000000" w:rsidR="00000000" w:rsidRPr="00000000">
        <w:rPr>
          <w:rtl w:val="0"/>
        </w:rPr>
        <w:t xml:space="preserve">The last program and reporting year for PQRS ended in 2016, which corresponded with CY 2018 payment adjustments. The Medicare Access and CHIP Reauthorization Act of 2015 (MACRA) replaced several CMS payment programs, including PQRS, with a single system, the Quality Payment Program.</w:t>
      </w:r>
      <w:r w:rsidDel="00000000" w:rsidR="00000000" w:rsidRPr="00000000">
        <w:rPr>
          <w:highlight w:val="white"/>
          <w:rtl w:val="0"/>
        </w:rPr>
        <w:t xml:space="preserve"> </w:t>
      </w:r>
    </w:p>
    <w:p w:rsidR="00000000" w:rsidDel="00000000" w:rsidP="00000000" w:rsidRDefault="00000000" w:rsidRPr="00000000" w14:paraId="00000054">
      <w:pPr>
        <w:rPr>
          <w:b w:val="1"/>
          <w:u w:val="single"/>
        </w:rPr>
      </w:pPr>
      <w:r w:rsidDel="00000000" w:rsidR="00000000" w:rsidRPr="00000000">
        <w:rPr>
          <w:b w:val="1"/>
          <w:u w:val="single"/>
          <w:rtl w:val="0"/>
        </w:rPr>
        <w:t xml:space="preserve">Q-V</w:t>
      </w:r>
    </w:p>
    <w:p w:rsidR="00000000" w:rsidDel="00000000" w:rsidP="00000000" w:rsidRDefault="00000000" w:rsidRPr="00000000" w14:paraId="00000055">
      <w:pPr>
        <w:rPr>
          <w:b w:val="1"/>
          <w:u w:val="single"/>
        </w:rPr>
      </w:pPr>
      <w:r w:rsidDel="00000000" w:rsidR="00000000" w:rsidRPr="00000000">
        <w:rPr>
          <w:b w:val="1"/>
          <w:u w:val="single"/>
          <w:rtl w:val="0"/>
        </w:rPr>
        <w:t xml:space="preserve">QPP: </w:t>
      </w:r>
      <w:r w:rsidDel="00000000" w:rsidR="00000000" w:rsidRPr="00000000">
        <w:rPr>
          <w:highlight w:val="white"/>
          <w:rtl w:val="0"/>
        </w:rPr>
        <w:t xml:space="preserve">The Quality Payment Program, was created by Congress as part of the Medicare Access and CHIP Reauthorization Act of 2015 (MACRA). </w:t>
      </w:r>
      <w:r w:rsidDel="00000000" w:rsidR="00000000" w:rsidRPr="00000000">
        <w:rPr>
          <w:rtl w:val="0"/>
        </w:rPr>
        <w:t xml:space="preserve">CMS is required by law to implement a quality payment incentive program, QPP, which rewards value and outcomes in one of two ways: Merit-based Incentive Payment System (MIPS) and Advanced Alternative Payment Models (APMs). Implementation of the QPP is managed by t</w:t>
      </w:r>
      <w:r w:rsidDel="00000000" w:rsidR="00000000" w:rsidRPr="00000000">
        <w:rPr>
          <w:highlight w:val="white"/>
          <w:rtl w:val="0"/>
        </w:rPr>
        <w:t xml:space="preserve">he CMS Innovation Center (CMMI).</w:t>
      </w:r>
      <w:r w:rsidDel="00000000" w:rsidR="00000000" w:rsidRPr="00000000">
        <w:rPr>
          <w:rtl w:val="0"/>
        </w:rPr>
      </w:r>
    </w:p>
    <w:p w:rsidR="00000000" w:rsidDel="00000000" w:rsidP="00000000" w:rsidRDefault="00000000" w:rsidRPr="00000000" w14:paraId="00000056">
      <w:pPr>
        <w:rPr>
          <w:b w:val="1"/>
          <w:u w:val="single"/>
        </w:rPr>
      </w:pPr>
      <w:r w:rsidDel="00000000" w:rsidR="00000000" w:rsidRPr="00000000">
        <w:rPr>
          <w:b w:val="1"/>
          <w:u w:val="single"/>
          <w:rtl w:val="0"/>
        </w:rPr>
        <w:t xml:space="preserve">Quality Measures</w:t>
      </w:r>
      <w:r w:rsidDel="00000000" w:rsidR="00000000" w:rsidRPr="00000000">
        <w:rPr>
          <w:color w:val="242424"/>
          <w:highlight w:val="white"/>
          <w:rtl w:val="0"/>
        </w:rPr>
        <w:t xml:space="preserve">: </w:t>
      </w:r>
      <w:r w:rsidDel="00000000" w:rsidR="00000000" w:rsidRPr="00000000">
        <w:rPr>
          <w:color w:val="000000"/>
          <w:highlight w:val="white"/>
          <w:rtl w:val="0"/>
        </w:rPr>
        <w:t xml:space="preserve">Quality measures are tools to help measure or quantify healthcare processes, outcomes, patient perceptions, and organizational structure and/or systems that are associated with the ability to provide high-quality health care and/or that relate to one or more quality goals for health care. These goals include: effective, safe, efficient, patient-centered, equitable, and timely care.</w:t>
      </w:r>
      <w:r w:rsidDel="00000000" w:rsidR="00000000" w:rsidRPr="00000000">
        <w:rPr>
          <w:rtl w:val="0"/>
        </w:rPr>
      </w:r>
    </w:p>
    <w:p w:rsidR="00000000" w:rsidDel="00000000" w:rsidP="00000000" w:rsidRDefault="00000000" w:rsidRPr="00000000" w14:paraId="00000057">
      <w:pPr>
        <w:rPr/>
      </w:pPr>
      <w:r w:rsidDel="00000000" w:rsidR="00000000" w:rsidRPr="00000000">
        <w:rPr>
          <w:b w:val="1"/>
          <w:u w:val="single"/>
          <w:rtl w:val="0"/>
        </w:rPr>
        <w:t xml:space="preserve">RAF Score</w:t>
      </w:r>
      <w:r w:rsidDel="00000000" w:rsidR="00000000" w:rsidRPr="00000000">
        <w:rPr>
          <w:rtl w:val="0"/>
        </w:rPr>
        <w:t xml:space="preserve">: A RAF score, or risk adjustment factor score, is used by CMS and insurance companies to represent a patient’s health status. RAF scores are used to predict the cost for a healthcare organization to care for a patient. A patient’s RAF is based on health conditions that map to a Hierarchical Condition Category, or HCCs, as well as demographic factors. Accurate RAF scores are critical to healthcare organizations since they ensure there is funding to provide high quality patient care.   Completely documenting and capturing HCC codes for each patient is critical to achieving accurate patient risk scores.  Risk scores and HCCs are assessed annually.</w:t>
      </w:r>
    </w:p>
    <w:p w:rsidR="00000000" w:rsidDel="00000000" w:rsidP="00000000" w:rsidRDefault="00000000" w:rsidRPr="00000000" w14:paraId="00000058">
      <w:pPr>
        <w:rPr>
          <w:b w:val="1"/>
          <w:u w:val="single"/>
        </w:rPr>
      </w:pPr>
      <w:r w:rsidDel="00000000" w:rsidR="00000000" w:rsidRPr="00000000">
        <w:rPr>
          <w:b w:val="1"/>
          <w:u w:val="single"/>
          <w:rtl w:val="0"/>
        </w:rPr>
        <w:t xml:space="preserve">RCM: </w:t>
      </w:r>
      <w:r w:rsidDel="00000000" w:rsidR="00000000" w:rsidRPr="00000000">
        <w:rPr>
          <w:color w:val="333333"/>
          <w:highlight w:val="white"/>
          <w:rtl w:val="0"/>
        </w:rPr>
        <w:t xml:space="preserve">Revenue cycle management in healthcare (RCM) is the overall business process that starts prior to patient registration, goes through final payment collection for provider services and is what enables organizations to be paid for providing services.</w:t>
      </w:r>
      <w:r w:rsidDel="00000000" w:rsidR="00000000" w:rsidRPr="00000000">
        <w:rPr>
          <w:highlight w:val="white"/>
          <w:rtl w:val="0"/>
        </w:rPr>
        <w:t xml:space="preserve"> Several organizations are involved in the process to make it a success such as: provider practice staff, coding specialists, healthcare systems, billing specialists, insurance companies and clearinghouses. </w:t>
      </w:r>
      <w:r w:rsidDel="00000000" w:rsidR="00000000" w:rsidRPr="00000000">
        <w:rPr>
          <w:rtl w:val="0"/>
        </w:rPr>
      </w:r>
    </w:p>
    <w:p w:rsidR="00000000" w:rsidDel="00000000" w:rsidP="00000000" w:rsidRDefault="00000000" w:rsidRPr="00000000" w14:paraId="00000059">
      <w:pPr>
        <w:rPr>
          <w:color w:val="333333"/>
          <w:highlight w:val="white"/>
        </w:rPr>
      </w:pPr>
      <w:r w:rsidDel="00000000" w:rsidR="00000000" w:rsidRPr="00000000">
        <w:rPr>
          <w:b w:val="1"/>
          <w:u w:val="single"/>
          <w:rtl w:val="0"/>
        </w:rPr>
        <w:t xml:space="preserve">Remote Monitoring: </w:t>
      </w:r>
      <w:r w:rsidDel="00000000" w:rsidR="00000000" w:rsidRPr="00000000">
        <w:rPr>
          <w:color w:val="363636"/>
          <w:highlight w:val="white"/>
          <w:rtl w:val="0"/>
        </w:rPr>
        <w:t xml:space="preserve">Often abbreviated as RPM (and sometimes known as remote patient management), remote patient monitoring is a method of healthcare delivery that uses the latest advances in information technology </w:t>
      </w:r>
      <w:r w:rsidDel="00000000" w:rsidR="00000000" w:rsidRPr="00000000">
        <w:rPr>
          <w:b w:val="0"/>
          <w:color w:val="363636"/>
          <w:highlight w:val="white"/>
          <w:rtl w:val="0"/>
        </w:rPr>
        <w:t xml:space="preserve">to gather patient data outside of traditional healthcare settings</w:t>
      </w:r>
      <w:r w:rsidDel="00000000" w:rsidR="00000000" w:rsidRPr="00000000">
        <w:rPr>
          <w:b w:val="1"/>
          <w:color w:val="363636"/>
          <w:highlight w:val="white"/>
          <w:rtl w:val="0"/>
        </w:rPr>
        <w:t xml:space="preserve">.</w:t>
      </w:r>
      <w:r w:rsidDel="00000000" w:rsidR="00000000" w:rsidRPr="00000000">
        <w:rPr>
          <w:color w:val="363636"/>
          <w:highlight w:val="white"/>
          <w:rtl w:val="0"/>
        </w:rPr>
        <w:t xml:space="preserve"> </w:t>
      </w:r>
      <w:r w:rsidDel="00000000" w:rsidR="00000000" w:rsidRPr="00000000">
        <w:rPr>
          <w:color w:val="333333"/>
          <w:highlight w:val="white"/>
          <w:rtl w:val="0"/>
        </w:rPr>
        <w:t xml:space="preserve">Connected health devices run the gamut from wearable heart monitors, or bedside defibrillator downloads, to Bluetooth-enabled scales, to Fitbits and can help to facilitate healthcare decisions from afar. </w:t>
      </w:r>
    </w:p>
    <w:p w:rsidR="00000000" w:rsidDel="00000000" w:rsidP="00000000" w:rsidRDefault="00000000" w:rsidRPr="00000000" w14:paraId="0000005A">
      <w:pPr>
        <w:rPr/>
      </w:pPr>
      <w:r w:rsidDel="00000000" w:rsidR="00000000" w:rsidRPr="00000000">
        <w:rPr>
          <w:b w:val="1"/>
          <w:u w:val="single"/>
          <w:rtl w:val="0"/>
        </w:rPr>
        <w:t xml:space="preserve">RHC:</w:t>
      </w:r>
      <w:r w:rsidDel="00000000" w:rsidR="00000000" w:rsidRPr="00000000">
        <w:rPr>
          <w:rtl w:val="0"/>
        </w:rPr>
        <w:t xml:space="preserve"> Medicare-certified rural health clinics (RHC) are located in  rural areas and operate exclusively for the purpose of providing primary care services to Medicare patients located in these rural and healthcare shortage areas.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373737"/>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Risk Stratification: </w:t>
      </w:r>
      <w:r w:rsidDel="00000000" w:rsidR="00000000" w:rsidRPr="00000000">
        <w:rPr>
          <w:rFonts w:ascii="Calibri" w:cs="Calibri" w:eastAsia="Calibri" w:hAnsi="Calibri"/>
          <w:b w:val="0"/>
          <w:i w:val="0"/>
          <w:smallCaps w:val="0"/>
          <w:strike w:val="0"/>
          <w:color w:val="373737"/>
          <w:sz w:val="22"/>
          <w:szCs w:val="22"/>
          <w:u w:val="none"/>
          <w:shd w:fill="auto" w:val="clear"/>
          <w:vertAlign w:val="baseline"/>
          <w:rtl w:val="0"/>
        </w:rPr>
        <w:t xml:space="preserve">Risk stratification is the process of dividing patients into numeric levels based on their vital health signs, their lifestyles, and medical history. This framework can be applied for complete population health management, combining individual risk scores, demographic and socioeconomic characteristics and medical records to create a comprehensive patient profile from which healthcare teams can target patients at various levels of risks.  </w:t>
      </w:r>
    </w:p>
    <w:p w:rsidR="00000000" w:rsidDel="00000000" w:rsidP="00000000" w:rsidRDefault="00000000" w:rsidRPr="00000000" w14:paraId="0000005C">
      <w:pPr>
        <w:rPr>
          <w:b w:val="1"/>
          <w:u w:val="single"/>
        </w:rPr>
      </w:pPr>
      <w:r w:rsidDel="00000000" w:rsidR="00000000" w:rsidRPr="00000000">
        <w:rPr>
          <w:b w:val="1"/>
          <w:u w:val="single"/>
          <w:rtl w:val="0"/>
        </w:rPr>
        <w:t xml:space="preserve">SNF: </w:t>
      </w:r>
      <w:r w:rsidDel="00000000" w:rsidR="00000000" w:rsidRPr="00000000">
        <w:rPr>
          <w:color w:val="3e4247"/>
          <w:highlight w:val="white"/>
          <w:rtl w:val="0"/>
        </w:rPr>
        <w:t xml:space="preserve">A Skilled Nursing Facility (SNF)</w:t>
      </w:r>
      <w:r w:rsidDel="00000000" w:rsidR="00000000" w:rsidRPr="00000000">
        <w:rPr>
          <w:b w:val="1"/>
          <w:color w:val="3e4247"/>
          <w:highlight w:val="white"/>
          <w:rtl w:val="0"/>
        </w:rPr>
        <w:t xml:space="preserve"> </w:t>
      </w:r>
      <w:hyperlink r:id="rId39">
        <w:r w:rsidDel="00000000" w:rsidR="00000000" w:rsidRPr="00000000">
          <w:rPr>
            <w:color w:val="000000"/>
            <w:highlight w:val="white"/>
            <w:u w:val="none"/>
            <w:rtl w:val="0"/>
          </w:rPr>
          <w:t xml:space="preserve">includes</w:t>
        </w:r>
      </w:hyperlink>
      <w:r w:rsidDel="00000000" w:rsidR="00000000" w:rsidRPr="00000000">
        <w:rPr>
          <w:highlight w:val="white"/>
          <w:rtl w:val="0"/>
        </w:rPr>
        <w:t xml:space="preserve"> </w:t>
      </w:r>
      <w:r w:rsidDel="00000000" w:rsidR="00000000" w:rsidRPr="00000000">
        <w:rPr>
          <w:color w:val="3e4247"/>
          <w:highlight w:val="white"/>
          <w:rtl w:val="0"/>
        </w:rPr>
        <w:t xml:space="preserve">care like extended care facilities or nursing homes, but also have specialized staff such as speech-language pathologists, rehabilitation specialists, audiologists, among others. These medical professionals are not typically staffed in a nursing home. Skilled nursing care is typically provided for rehabilitation patients that do not require long-term care services. This type of care is also referred to as post-acute care, in that it typically is provided following an emergency hospital stay. Nursing home care</w:t>
      </w:r>
      <w:r w:rsidDel="00000000" w:rsidR="00000000" w:rsidRPr="00000000">
        <w:rPr>
          <w:b w:val="1"/>
          <w:color w:val="3e4247"/>
          <w:highlight w:val="white"/>
          <w:rtl w:val="0"/>
        </w:rPr>
        <w:t xml:space="preserve"> </w:t>
      </w:r>
      <w:r w:rsidDel="00000000" w:rsidR="00000000" w:rsidRPr="00000000">
        <w:rPr>
          <w:color w:val="3e4247"/>
          <w:highlight w:val="white"/>
          <w:rtl w:val="0"/>
        </w:rPr>
        <w:t xml:space="preserve">is similar in that residents receive care with the presence of certified nurses, meal preparation, and non-medical assistant like bathing; however lack the on-site licensed medical practitioners of a skilled nursing facility. </w:t>
      </w:r>
      <w:hyperlink r:id="rId40">
        <w:r w:rsidDel="00000000" w:rsidR="00000000" w:rsidRPr="00000000">
          <w:rPr>
            <w:color w:val="000000"/>
            <w:highlight w:val="white"/>
            <w:u w:val="none"/>
            <w:rtl w:val="0"/>
          </w:rPr>
          <w:t xml:space="preserve">Nursing home care provides </w:t>
        </w:r>
      </w:hyperlink>
      <w:r w:rsidDel="00000000" w:rsidR="00000000" w:rsidRPr="00000000">
        <w:rPr>
          <w:color w:val="3e4247"/>
          <w:highlight w:val="white"/>
          <w:rtl w:val="0"/>
        </w:rPr>
        <w:t xml:space="preserve"> permanent custodial assistance, whereas a skilled nursing facility is more often temporary, to solve a specific medical need or to allow recovery outside a hospital.</w:t>
      </w:r>
      <w:r w:rsidDel="00000000" w:rsidR="00000000" w:rsidRPr="00000000">
        <w:rPr>
          <w:rtl w:val="0"/>
        </w:rPr>
      </w:r>
    </w:p>
    <w:p w:rsidR="00000000" w:rsidDel="00000000" w:rsidP="00000000" w:rsidRDefault="00000000" w:rsidRPr="00000000" w14:paraId="0000005D">
      <w:pPr>
        <w:rPr>
          <w:b w:val="1"/>
          <w:u w:val="single"/>
        </w:rPr>
      </w:pPr>
      <w:r w:rsidDel="00000000" w:rsidR="00000000" w:rsidRPr="00000000">
        <w:rPr>
          <w:b w:val="1"/>
          <w:u w:val="single"/>
          <w:rtl w:val="0"/>
        </w:rPr>
        <w:t xml:space="preserve">SoD: </w:t>
      </w:r>
      <w:r w:rsidDel="00000000" w:rsidR="00000000" w:rsidRPr="00000000">
        <w:rPr>
          <w:color w:val="1a1a1a"/>
          <w:highlight w:val="white"/>
          <w:rtl w:val="0"/>
        </w:rPr>
        <w:t xml:space="preserve">Social Determinants of Health are the complex circumstances in which individuals are born and live that impact their health. They include intangible factors such as political, socioeconomic, and cultural constructs, as well as place-based conditions including accessible healthcare and education systems, safe environmental conditions, well-designed neighborhoods, and availability of healthful food.</w:t>
      </w:r>
      <w:r w:rsidDel="00000000" w:rsidR="00000000" w:rsidRPr="00000000">
        <w:rPr>
          <w:color w:val="000000"/>
          <w:highlight w:val="white"/>
          <w:rtl w:val="0"/>
        </w:rPr>
        <w:t xml:space="preserve">  Understanding SoD is an important aspect of population health management.</w:t>
      </w:r>
      <w:r w:rsidDel="00000000" w:rsidR="00000000" w:rsidRPr="00000000">
        <w:rPr>
          <w:rtl w:val="0"/>
        </w:rPr>
      </w:r>
    </w:p>
    <w:p w:rsidR="00000000" w:rsidDel="00000000" w:rsidP="00000000" w:rsidRDefault="00000000" w:rsidRPr="00000000" w14:paraId="0000005E">
      <w:pPr>
        <w:rPr>
          <w:b w:val="1"/>
          <w:u w:val="single"/>
        </w:rPr>
      </w:pPr>
      <w:r w:rsidDel="00000000" w:rsidR="00000000" w:rsidRPr="00000000">
        <w:rPr>
          <w:b w:val="1"/>
          <w:u w:val="single"/>
          <w:rtl w:val="0"/>
        </w:rPr>
        <w:t xml:space="preserve">Telehealth &amp; Telemedicine: </w:t>
      </w:r>
      <w:r w:rsidDel="00000000" w:rsidR="00000000" w:rsidRPr="00000000">
        <w:rPr>
          <w:color w:val="333333"/>
          <w:rtl w:val="0"/>
        </w:rPr>
        <w:t xml:space="preserve">Telehealth as the use of electronic information and telecommunications technologies to support and promote long-distance clinical health care, patient and professional health-related education, public health and health administration. Technologies include videoconferencing, the internet, store-and-forward imaging, streaming media, and terrestrial and wireless communications. Telehealth is different from telemedicine because it refers to a </w:t>
      </w:r>
      <w:r w:rsidDel="00000000" w:rsidR="00000000" w:rsidRPr="00000000">
        <w:rPr>
          <w:i w:val="1"/>
          <w:color w:val="333333"/>
          <w:rtl w:val="0"/>
        </w:rPr>
        <w:t xml:space="preserve">broader scope of remote healthcare services</w:t>
      </w:r>
      <w:r w:rsidDel="00000000" w:rsidR="00000000" w:rsidRPr="00000000">
        <w:rPr>
          <w:color w:val="333333"/>
          <w:rtl w:val="0"/>
        </w:rPr>
        <w:t xml:space="preserve"> than telemedicine. While telemedicine refers specifically to remote clinical services, telehealth can refer to remote non-clinical services, such as provider training, administrative meetings, and continuing medical education, in addition to clinical services.</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Value Based Care: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Value-based programs reward health care providers with incentive payments for the quality of care they give to people with Medicare. These programs are part of a larger quality strategy to reform how </w:t>
      </w:r>
      <w:r w:rsidDel="00000000" w:rsidR="00000000" w:rsidRPr="00000000">
        <w:rPr>
          <w:rtl w:val="0"/>
        </w:rPr>
        <w:t xml:space="preserve">healthcare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delivered and paid for. Value-based programs support a three-part aim: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Better care for individuals</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Better health for populations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 cost</w:t>
      </w:r>
    </w:p>
    <w:p w:rsidR="00000000" w:rsidDel="00000000" w:rsidP="00000000" w:rsidRDefault="00000000" w:rsidRPr="00000000" w14:paraId="00000063">
      <w:pPr>
        <w:rPr/>
      </w:pPr>
      <w:r w:rsidDel="00000000" w:rsidR="00000000" w:rsidRPr="00000000">
        <w:rPr>
          <w:rtl w:val="0"/>
        </w:rPr>
        <w:t xml:space="preserve">CMS currently defines value-based care as paying for health care services in a manner that directly links performance on cost, quality and the patient's experience of care. </w:t>
      </w:r>
      <w:r w:rsidDel="00000000" w:rsidR="00000000" w:rsidRPr="00000000">
        <w:rPr>
          <w:color w:val="343536"/>
          <w:highlight w:val="white"/>
          <w:rtl w:val="0"/>
        </w:rPr>
        <w:t xml:space="preserve">With the concept of value-based care, doctors and hospitals get paid based on outcomes, not on numbers of procedures done, patients seen, or how much they are charged. Rather than charging a patient for each individual test or service, payments are bundled – especially useful in more complex cases like joint replacements.</w:t>
      </w:r>
      <w:r w:rsidDel="00000000" w:rsidR="00000000" w:rsidRPr="00000000">
        <w:rPr>
          <w:rtl w:val="0"/>
        </w:rPr>
        <w:t xml:space="preserve">  </w:t>
      </w:r>
      <w:r w:rsidDel="00000000" w:rsidR="00000000" w:rsidRPr="00000000">
        <w:rPr>
          <w:color w:val="343536"/>
          <w:highlight w:val="white"/>
          <w:rtl w:val="0"/>
        </w:rPr>
        <w:t xml:space="preserve">Reaching this goal is based on a set of changes in the ways a patient receives care including</w:t>
      </w:r>
      <w:r w:rsidDel="00000000" w:rsidR="00000000" w:rsidRPr="00000000">
        <w:rPr>
          <w:color w:val="343536"/>
          <w:rtl w:val="0"/>
        </w:rPr>
        <w:t xml:space="preserve"> standardizing healthcare processes through best practices.  Wellness and prevention are also stressed in value-based care. </w:t>
      </w:r>
      <w:r w:rsidDel="00000000" w:rsidR="00000000" w:rsidRPr="00000000">
        <w:rPr>
          <w:rtl w:val="0"/>
        </w:rPr>
      </w:r>
    </w:p>
    <w:p w:rsidR="00000000" w:rsidDel="00000000" w:rsidP="00000000" w:rsidRDefault="00000000" w:rsidRPr="00000000" w14:paraId="00000064">
      <w:pPr>
        <w:rPr>
          <w:b w:val="1"/>
          <w:u w:val="single"/>
        </w:rPr>
      </w:pPr>
      <w:r w:rsidDel="00000000" w:rsidR="00000000" w:rsidRPr="00000000">
        <w:rPr>
          <w:rtl w:val="0"/>
        </w:rPr>
      </w:r>
    </w:p>
    <w:p w:rsidR="00000000" w:rsidDel="00000000" w:rsidP="00000000" w:rsidRDefault="00000000" w:rsidRPr="00000000" w14:paraId="00000065">
      <w:pPr>
        <w:rPr>
          <w:b w:val="1"/>
          <w:u w:val="single"/>
        </w:rPr>
      </w:pPr>
      <w:r w:rsidDel="00000000" w:rsidR="00000000" w:rsidRPr="00000000">
        <w:rPr>
          <w:b w:val="1"/>
          <w:u w:val="single"/>
          <w:rtl w:val="0"/>
        </w:rPr>
        <w:t xml:space="preserve">Virtual Visits</w:t>
      </w:r>
      <w:r w:rsidDel="00000000" w:rsidR="00000000" w:rsidRPr="00000000">
        <w:rPr>
          <w:color w:val="000000"/>
          <w:highlight w:val="white"/>
          <w:rtl w:val="0"/>
        </w:rPr>
        <w:t xml:space="preserve"> Virtual visits are clinical interactions in health care that do not involve the patient and provider being in the same room at the same time. </w:t>
      </w:r>
      <w:r w:rsidDel="00000000" w:rsidR="00000000" w:rsidRPr="00000000">
        <w:rPr>
          <w:rtl w:val="0"/>
        </w:rPr>
      </w:r>
    </w:p>
    <w:p w:rsidR="00000000" w:rsidDel="00000000" w:rsidP="00000000" w:rsidRDefault="00000000" w:rsidRPr="00000000" w14:paraId="00000066">
      <w:pPr>
        <w:pStyle w:val="Heading3"/>
        <w:shd w:fill="ffffff" w:val="clear"/>
        <w:rPr>
          <w:rFonts w:ascii="Calibri" w:cs="Calibri" w:eastAsia="Calibri" w:hAnsi="Calibri"/>
          <w:color w:val="666666"/>
          <w:sz w:val="22"/>
          <w:szCs w:val="22"/>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u w:val="single"/>
        </w:rPr>
      </w:pPr>
      <w:r w:rsidDel="00000000" w:rsidR="00000000" w:rsidRPr="00000000">
        <w:rPr>
          <w:rtl w:val="0"/>
        </w:rPr>
      </w:r>
    </w:p>
    <w:p w:rsidR="00000000" w:rsidDel="00000000" w:rsidP="00000000" w:rsidRDefault="00000000" w:rsidRPr="00000000" w14:paraId="0000006A">
      <w:pPr>
        <w:rPr>
          <w:b w:val="1"/>
          <w:u w:val="single"/>
        </w:rPr>
      </w:pPr>
      <w:r w:rsidDel="00000000" w:rsidR="00000000" w:rsidRPr="00000000">
        <w:rPr>
          <w:rtl w:val="0"/>
        </w:rPr>
      </w:r>
    </w:p>
    <w:p w:rsidR="00000000" w:rsidDel="00000000" w:rsidP="00000000" w:rsidRDefault="00000000" w:rsidRPr="00000000" w14:paraId="0000006B">
      <w:pPr>
        <w:rPr>
          <w:b w:val="1"/>
          <w:u w:val="single"/>
        </w:rPr>
      </w:pPr>
      <w:r w:rsidDel="00000000" w:rsidR="00000000" w:rsidRPr="00000000">
        <w:rPr>
          <w:rtl w:val="0"/>
        </w:rPr>
      </w:r>
    </w:p>
    <w:p w:rsidR="00000000" w:rsidDel="00000000" w:rsidP="00000000" w:rsidRDefault="00000000" w:rsidRPr="00000000" w14:paraId="0000006C">
      <w:pPr>
        <w:rPr>
          <w:b w:val="1"/>
          <w:u w:val="single"/>
        </w:rPr>
      </w:pPr>
      <w:r w:rsidDel="00000000" w:rsidR="00000000" w:rsidRPr="00000000">
        <w:rPr>
          <w:rtl w:val="0"/>
        </w:rPr>
      </w:r>
    </w:p>
    <w:p w:rsidR="00000000" w:rsidDel="00000000" w:rsidP="00000000" w:rsidRDefault="00000000" w:rsidRPr="00000000" w14:paraId="0000006D">
      <w:pPr>
        <w:rPr>
          <w:b w:val="1"/>
          <w:u w:val="single"/>
        </w:rPr>
      </w:pPr>
      <w:r w:rsidDel="00000000" w:rsidR="00000000" w:rsidRPr="00000000">
        <w:rPr>
          <w:rtl w:val="0"/>
        </w:rPr>
      </w:r>
    </w:p>
    <w:p w:rsidR="00000000" w:rsidDel="00000000" w:rsidP="00000000" w:rsidRDefault="00000000" w:rsidRPr="00000000" w14:paraId="0000006E">
      <w:pPr>
        <w:rPr>
          <w:b w:val="1"/>
          <w:u w:val="single"/>
        </w:rPr>
      </w:pPr>
      <w:r w:rsidDel="00000000" w:rsidR="00000000" w:rsidRPr="00000000">
        <w:rPr>
          <w:rtl w:val="0"/>
        </w:rPr>
      </w:r>
    </w:p>
    <w:p w:rsidR="00000000" w:rsidDel="00000000" w:rsidP="00000000" w:rsidRDefault="00000000" w:rsidRPr="00000000" w14:paraId="0000006F">
      <w:pPr>
        <w:rPr>
          <w:b w:val="1"/>
          <w:u w:val="single"/>
        </w:rPr>
      </w:pPr>
      <w:r w:rsidDel="00000000" w:rsidR="00000000" w:rsidRPr="00000000">
        <w:rPr>
          <w:rtl w:val="0"/>
        </w:rPr>
      </w:r>
    </w:p>
    <w:p w:rsidR="00000000" w:rsidDel="00000000" w:rsidP="00000000" w:rsidRDefault="00000000" w:rsidRPr="00000000" w14:paraId="00000070">
      <w:pPr>
        <w:rPr>
          <w:b w:val="1"/>
          <w:u w:val="single"/>
        </w:rPr>
      </w:pPr>
      <w:r w:rsidDel="00000000" w:rsidR="00000000" w:rsidRPr="00000000">
        <w:rPr>
          <w:rtl w:val="0"/>
        </w:rPr>
      </w:r>
    </w:p>
    <w:p w:rsidR="00000000" w:rsidDel="00000000" w:rsidP="00000000" w:rsidRDefault="00000000" w:rsidRPr="00000000" w14:paraId="00000071">
      <w:pPr>
        <w:rPr>
          <w:b w:val="1"/>
          <w:u w:val="single"/>
        </w:rPr>
      </w:pPr>
      <w:r w:rsidDel="00000000" w:rsidR="00000000" w:rsidRPr="00000000">
        <w:rPr>
          <w:rtl w:val="0"/>
        </w:rPr>
      </w:r>
    </w:p>
    <w:p w:rsidR="00000000" w:rsidDel="00000000" w:rsidP="00000000" w:rsidRDefault="00000000" w:rsidRPr="00000000" w14:paraId="00000072">
      <w:pPr>
        <w:rPr>
          <w:b w:val="1"/>
          <w:u w:val="single"/>
        </w:rPr>
      </w:pPr>
      <w:r w:rsidDel="00000000" w:rsidR="00000000" w:rsidRPr="00000000">
        <w:rPr>
          <w:rtl w:val="0"/>
        </w:rPr>
      </w:r>
    </w:p>
    <w:p w:rsidR="00000000" w:rsidDel="00000000" w:rsidP="00000000" w:rsidRDefault="00000000" w:rsidRPr="00000000" w14:paraId="00000073">
      <w:pPr>
        <w:rPr>
          <w:b w:val="1"/>
          <w:u w:val="single"/>
        </w:rPr>
      </w:pPr>
      <w:r w:rsidDel="00000000" w:rsidR="00000000" w:rsidRPr="00000000">
        <w:rPr>
          <w:rtl w:val="0"/>
        </w:rPr>
      </w:r>
    </w:p>
    <w:p w:rsidR="00000000" w:rsidDel="00000000" w:rsidP="00000000" w:rsidRDefault="00000000" w:rsidRPr="00000000" w14:paraId="00000074">
      <w:pPr>
        <w:rPr>
          <w:b w:val="1"/>
          <w:u w:val="single"/>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rtl w:val="0"/>
        </w:rPr>
      </w:r>
    </w:p>
    <w:p w:rsidR="00000000" w:rsidDel="00000000" w:rsidP="00000000" w:rsidRDefault="00000000" w:rsidRPr="00000000" w14:paraId="00000076">
      <w:pPr>
        <w:rPr>
          <w:b w:val="1"/>
          <w:u w:val="single"/>
        </w:rPr>
      </w:pPr>
      <w:r w:rsidDel="00000000" w:rsidR="00000000" w:rsidRPr="00000000">
        <w:rPr>
          <w:rtl w:val="0"/>
        </w:rPr>
      </w:r>
    </w:p>
    <w:p w:rsidR="00000000" w:rsidDel="00000000" w:rsidP="00000000" w:rsidRDefault="00000000" w:rsidRPr="00000000" w14:paraId="00000077">
      <w:pPr>
        <w:rPr>
          <w:b w:val="1"/>
          <w:u w:val="single"/>
        </w:rPr>
      </w:pPr>
      <w:r w:rsidDel="00000000" w:rsidR="00000000" w:rsidRPr="00000000">
        <w:rPr>
          <w:rtl w:val="0"/>
        </w:rPr>
      </w:r>
    </w:p>
    <w:p w:rsidR="00000000" w:rsidDel="00000000" w:rsidP="00000000" w:rsidRDefault="00000000" w:rsidRPr="00000000" w14:paraId="00000078">
      <w:pPr>
        <w:rPr>
          <w:b w:val="1"/>
          <w:u w:val="single"/>
        </w:rPr>
      </w:pPr>
      <w:r w:rsidDel="00000000" w:rsidR="00000000" w:rsidRPr="00000000">
        <w:rPr>
          <w:rtl w:val="0"/>
        </w:rPr>
      </w:r>
    </w:p>
    <w:p w:rsidR="00000000" w:rsidDel="00000000" w:rsidP="00000000" w:rsidRDefault="00000000" w:rsidRPr="00000000" w14:paraId="00000079">
      <w:pPr>
        <w:rPr>
          <w:b w:val="1"/>
          <w:u w:val="single"/>
        </w:rPr>
      </w:pPr>
      <w:r w:rsidDel="00000000" w:rsidR="00000000" w:rsidRPr="00000000">
        <w:rPr>
          <w:rtl w:val="0"/>
        </w:rPr>
      </w:r>
    </w:p>
    <w:p w:rsidR="00000000" w:rsidDel="00000000" w:rsidP="00000000" w:rsidRDefault="00000000" w:rsidRPr="00000000" w14:paraId="0000007A">
      <w:pPr>
        <w:rPr>
          <w:b w:val="1"/>
          <w:u w:val="single"/>
        </w:rPr>
      </w:pPr>
      <w:r w:rsidDel="00000000" w:rsidR="00000000" w:rsidRPr="00000000">
        <w:rPr>
          <w:rtl w:val="0"/>
        </w:rPr>
      </w:r>
    </w:p>
    <w:p w:rsidR="00000000" w:rsidDel="00000000" w:rsidP="00000000" w:rsidRDefault="00000000" w:rsidRPr="00000000" w14:paraId="0000007B">
      <w:pPr>
        <w:rPr>
          <w:b w:val="1"/>
          <w:u w:val="single"/>
        </w:rPr>
      </w:pPr>
      <w:r w:rsidDel="00000000" w:rsidR="00000000" w:rsidRPr="00000000">
        <w:rPr>
          <w:rtl w:val="0"/>
        </w:rPr>
      </w:r>
    </w:p>
    <w:p w:rsidR="00000000" w:rsidDel="00000000" w:rsidP="00000000" w:rsidRDefault="00000000" w:rsidRPr="00000000" w14:paraId="0000007C">
      <w:pPr>
        <w:rPr>
          <w:b w:val="1"/>
          <w:u w:val="single"/>
        </w:rPr>
      </w:pPr>
      <w:r w:rsidDel="00000000" w:rsidR="00000000" w:rsidRPr="00000000">
        <w:rPr>
          <w:rtl w:val="0"/>
        </w:rPr>
      </w:r>
    </w:p>
    <w:p w:rsidR="00000000" w:rsidDel="00000000" w:rsidP="00000000" w:rsidRDefault="00000000" w:rsidRPr="00000000" w14:paraId="0000007D">
      <w:pPr>
        <w:rPr>
          <w:b w:val="1"/>
          <w:u w:val="single"/>
        </w:rPr>
      </w:pPr>
      <w:bookmarkStart w:colFirst="0" w:colLast="0" w:name="_heading=h.gjdgxs" w:id="0"/>
      <w:bookmarkEnd w:id="0"/>
      <w:r w:rsidDel="00000000" w:rsidR="00000000" w:rsidRPr="00000000">
        <w:rPr>
          <w:b w:val="1"/>
          <w:u w:val="single"/>
          <w:rtl w:val="0"/>
        </w:rPr>
        <w:t xml:space="preserve">The following sites were used to create this glossary :</w:t>
      </w:r>
    </w:p>
    <w:p w:rsidR="00000000" w:rsidDel="00000000" w:rsidP="00000000" w:rsidRDefault="00000000" w:rsidRPr="00000000" w14:paraId="0000007E">
      <w:pPr>
        <w:rPr>
          <w:color w:val="0000ff"/>
          <w:u w:val="single"/>
        </w:rPr>
      </w:pPr>
      <w:hyperlink r:id="rId41">
        <w:r w:rsidDel="00000000" w:rsidR="00000000" w:rsidRPr="00000000">
          <w:rPr>
            <w:color w:val="0000ff"/>
            <w:u w:val="single"/>
            <w:rtl w:val="0"/>
          </w:rPr>
          <w:t xml:space="preserve">https://www.cms.gov/</w:t>
        </w:r>
      </w:hyperlink>
      <w:r w:rsidDel="00000000" w:rsidR="00000000" w:rsidRPr="00000000">
        <w:rPr>
          <w:rtl w:val="0"/>
        </w:rPr>
      </w:r>
    </w:p>
    <w:p w:rsidR="00000000" w:rsidDel="00000000" w:rsidP="00000000" w:rsidRDefault="00000000" w:rsidRPr="00000000" w14:paraId="0000007F">
      <w:pPr>
        <w:rPr/>
      </w:pPr>
      <w:hyperlink r:id="rId42">
        <w:r w:rsidDel="00000000" w:rsidR="00000000" w:rsidRPr="00000000">
          <w:rPr>
            <w:color w:val="0000ff"/>
            <w:u w:val="single"/>
            <w:rtl w:val="0"/>
          </w:rPr>
          <w:t xml:space="preserve">https://www.healthit.gov/</w:t>
        </w:r>
      </w:hyperlink>
      <w:r w:rsidDel="00000000" w:rsidR="00000000" w:rsidRPr="00000000">
        <w:rPr>
          <w:rtl w:val="0"/>
        </w:rPr>
      </w:r>
    </w:p>
    <w:p w:rsidR="00000000" w:rsidDel="00000000" w:rsidP="00000000" w:rsidRDefault="00000000" w:rsidRPr="00000000" w14:paraId="00000080">
      <w:pPr>
        <w:rPr/>
      </w:pPr>
      <w:hyperlink r:id="rId43">
        <w:r w:rsidDel="00000000" w:rsidR="00000000" w:rsidRPr="00000000">
          <w:rPr>
            <w:color w:val="0000ff"/>
            <w:u w:val="single"/>
            <w:rtl w:val="0"/>
          </w:rPr>
          <w:t xml:space="preserve">https://www.healthcare.gov/</w:t>
        </w:r>
      </w:hyperlink>
      <w:r w:rsidDel="00000000" w:rsidR="00000000" w:rsidRPr="00000000">
        <w:rPr>
          <w:rtl w:val="0"/>
        </w:rPr>
      </w:r>
    </w:p>
    <w:p w:rsidR="00000000" w:rsidDel="00000000" w:rsidP="00000000" w:rsidRDefault="00000000" w:rsidRPr="00000000" w14:paraId="00000081">
      <w:pPr>
        <w:rPr/>
      </w:pPr>
      <w:hyperlink r:id="rId44">
        <w:r w:rsidDel="00000000" w:rsidR="00000000" w:rsidRPr="00000000">
          <w:rPr>
            <w:color w:val="0000ff"/>
            <w:u w:val="single"/>
            <w:rtl w:val="0"/>
          </w:rPr>
          <w:t xml:space="preserve">https://www.hhs.gov/</w:t>
        </w:r>
      </w:hyperlink>
      <w:r w:rsidDel="00000000" w:rsidR="00000000" w:rsidRPr="00000000">
        <w:rPr>
          <w:rtl w:val="0"/>
        </w:rPr>
      </w:r>
    </w:p>
    <w:p w:rsidR="00000000" w:rsidDel="00000000" w:rsidP="00000000" w:rsidRDefault="00000000" w:rsidRPr="00000000" w14:paraId="00000082">
      <w:pPr>
        <w:rPr>
          <w:color w:val="000000"/>
          <w:highlight w:val="white"/>
        </w:rPr>
      </w:pPr>
      <w:hyperlink r:id="rId45">
        <w:r w:rsidDel="00000000" w:rsidR="00000000" w:rsidRPr="00000000">
          <w:rPr>
            <w:color w:val="0000ff"/>
            <w:u w:val="single"/>
            <w:rtl w:val="0"/>
          </w:rPr>
          <w:t xml:space="preserve">https://qpp.cms.gov/</w:t>
        </w:r>
      </w:hyperlink>
      <w:r w:rsidDel="00000000" w:rsidR="00000000" w:rsidRPr="00000000">
        <w:rPr>
          <w:rtl w:val="0"/>
        </w:rPr>
      </w:r>
    </w:p>
    <w:p w:rsidR="00000000" w:rsidDel="00000000" w:rsidP="00000000" w:rsidRDefault="00000000" w:rsidRPr="00000000" w14:paraId="00000083">
      <w:pPr>
        <w:rPr/>
      </w:pPr>
      <w:hyperlink r:id="rId46">
        <w:r w:rsidDel="00000000" w:rsidR="00000000" w:rsidRPr="00000000">
          <w:rPr>
            <w:color w:val="0000ff"/>
            <w:u w:val="single"/>
            <w:rtl w:val="0"/>
          </w:rPr>
          <w:t xml:space="preserve">https://www.cdc.gov/</w:t>
        </w:r>
      </w:hyperlink>
      <w:r w:rsidDel="00000000" w:rsidR="00000000" w:rsidRPr="00000000">
        <w:rPr>
          <w:rtl w:val="0"/>
        </w:rPr>
      </w:r>
    </w:p>
    <w:p w:rsidR="00000000" w:rsidDel="00000000" w:rsidP="00000000" w:rsidRDefault="00000000" w:rsidRPr="00000000" w14:paraId="00000084">
      <w:pPr>
        <w:rPr/>
      </w:pPr>
      <w:hyperlink r:id="rId47">
        <w:r w:rsidDel="00000000" w:rsidR="00000000" w:rsidRPr="00000000">
          <w:rPr>
            <w:color w:val="0000ff"/>
            <w:u w:val="single"/>
            <w:rtl w:val="0"/>
          </w:rPr>
          <w:t xml:space="preserve">https://www.ncbi.nlm.nih.gov/</w:t>
        </w:r>
      </w:hyperlink>
      <w:r w:rsidDel="00000000" w:rsidR="00000000" w:rsidRPr="00000000">
        <w:rPr>
          <w:rtl w:val="0"/>
        </w:rPr>
      </w:r>
    </w:p>
    <w:p w:rsidR="00000000" w:rsidDel="00000000" w:rsidP="00000000" w:rsidRDefault="00000000" w:rsidRPr="00000000" w14:paraId="00000085">
      <w:pPr>
        <w:rPr/>
      </w:pPr>
      <w:hyperlink r:id="rId48">
        <w:r w:rsidDel="00000000" w:rsidR="00000000" w:rsidRPr="00000000">
          <w:rPr>
            <w:color w:val="0000ff"/>
            <w:u w:val="single"/>
            <w:rtl w:val="0"/>
          </w:rPr>
          <w:t xml:space="preserve">https://medlineplus.gov/</w:t>
        </w:r>
      </w:hyperlink>
      <w:r w:rsidDel="00000000" w:rsidR="00000000" w:rsidRPr="00000000">
        <w:rPr>
          <w:rtl w:val="0"/>
        </w:rPr>
      </w:r>
    </w:p>
    <w:p w:rsidR="00000000" w:rsidDel="00000000" w:rsidP="00000000" w:rsidRDefault="00000000" w:rsidRPr="00000000" w14:paraId="00000086">
      <w:pPr>
        <w:rPr/>
      </w:pPr>
      <w:hyperlink r:id="rId49">
        <w:r w:rsidDel="00000000" w:rsidR="00000000" w:rsidRPr="00000000">
          <w:rPr>
            <w:color w:val="0000ff"/>
            <w:u w:val="single"/>
            <w:rtl w:val="0"/>
          </w:rPr>
          <w:t xml:space="preserve">https://pubmed.ncbi.nlm.nih.gov/</w:t>
        </w:r>
      </w:hyperlink>
      <w:r w:rsidDel="00000000" w:rsidR="00000000" w:rsidRPr="00000000">
        <w:rPr>
          <w:rtl w:val="0"/>
        </w:rPr>
      </w:r>
    </w:p>
    <w:p w:rsidR="00000000" w:rsidDel="00000000" w:rsidP="00000000" w:rsidRDefault="00000000" w:rsidRPr="00000000" w14:paraId="00000087">
      <w:pPr>
        <w:rPr/>
      </w:pPr>
      <w:hyperlink r:id="rId50">
        <w:r w:rsidDel="00000000" w:rsidR="00000000" w:rsidRPr="00000000">
          <w:rPr>
            <w:color w:val="0000ff"/>
            <w:u w:val="single"/>
            <w:rtl w:val="0"/>
          </w:rPr>
          <w:t xml:space="preserve">https://www.hipaajournal.com/</w:t>
        </w:r>
      </w:hyperlink>
      <w:r w:rsidDel="00000000" w:rsidR="00000000" w:rsidRPr="00000000">
        <w:rPr>
          <w:rtl w:val="0"/>
        </w:rPr>
        <w:t xml:space="preserve"> </w:t>
      </w:r>
    </w:p>
    <w:p w:rsidR="00000000" w:rsidDel="00000000" w:rsidP="00000000" w:rsidRDefault="00000000" w:rsidRPr="00000000" w14:paraId="00000088">
      <w:pPr>
        <w:rPr/>
      </w:pPr>
      <w:hyperlink r:id="rId51">
        <w:r w:rsidDel="00000000" w:rsidR="00000000" w:rsidRPr="00000000">
          <w:rPr>
            <w:color w:val="0000ff"/>
            <w:u w:val="single"/>
            <w:rtl w:val="0"/>
          </w:rPr>
          <w:t xml:space="preserve">https://privacyruleandresearch.nih.gov/</w:t>
        </w:r>
      </w:hyperlink>
      <w:r w:rsidDel="00000000" w:rsidR="00000000" w:rsidRPr="00000000">
        <w:rPr>
          <w:rtl w:val="0"/>
        </w:rPr>
        <w:t xml:space="preserve"> </w:t>
      </w:r>
    </w:p>
    <w:p w:rsidR="00000000" w:rsidDel="00000000" w:rsidP="00000000" w:rsidRDefault="00000000" w:rsidRPr="00000000" w14:paraId="00000089">
      <w:pPr>
        <w:rPr/>
      </w:pPr>
      <w:hyperlink r:id="rId52">
        <w:r w:rsidDel="00000000" w:rsidR="00000000" w:rsidRPr="00000000">
          <w:rPr>
            <w:color w:val="0000ff"/>
            <w:u w:val="single"/>
            <w:rtl w:val="0"/>
          </w:rPr>
          <w:t xml:space="preserve">https://www.healthcareitnews.com/</w:t>
        </w:r>
      </w:hyperlink>
      <w:r w:rsidDel="00000000" w:rsidR="00000000" w:rsidRPr="00000000">
        <w:rPr>
          <w:rtl w:val="0"/>
        </w:rPr>
        <w:t xml:space="preserve"> </w:t>
      </w:r>
    </w:p>
    <w:p w:rsidR="00000000" w:rsidDel="00000000" w:rsidP="00000000" w:rsidRDefault="00000000" w:rsidRPr="00000000" w14:paraId="0000008A">
      <w:pPr>
        <w:rPr/>
      </w:pPr>
      <w:hyperlink r:id="rId53">
        <w:r w:rsidDel="00000000" w:rsidR="00000000" w:rsidRPr="00000000">
          <w:rPr>
            <w:color w:val="0000ff"/>
            <w:u w:val="single"/>
            <w:rtl w:val="0"/>
          </w:rPr>
          <w:t xml:space="preserve">www.medicare.gov</w:t>
        </w:r>
      </w:hyperlink>
      <w:r w:rsidDel="00000000" w:rsidR="00000000" w:rsidRPr="00000000">
        <w:rPr>
          <w:rtl w:val="0"/>
        </w:rPr>
      </w:r>
    </w:p>
    <w:p w:rsidR="00000000" w:rsidDel="00000000" w:rsidP="00000000" w:rsidRDefault="00000000" w:rsidRPr="00000000" w14:paraId="0000008B">
      <w:pPr>
        <w:rPr/>
      </w:pPr>
      <w:hyperlink r:id="rId54">
        <w:r w:rsidDel="00000000" w:rsidR="00000000" w:rsidRPr="00000000">
          <w:rPr>
            <w:color w:val="0000ff"/>
            <w:u w:val="single"/>
            <w:rtl w:val="0"/>
          </w:rPr>
          <w:t xml:space="preserve">https://catalyst.nejm.org/</w:t>
        </w:r>
      </w:hyperlink>
      <w:r w:rsidDel="00000000" w:rsidR="00000000" w:rsidRPr="00000000">
        <w:rPr>
          <w:rtl w:val="0"/>
        </w:rPr>
        <w:t xml:space="preserve"> </w:t>
      </w:r>
    </w:p>
    <w:p w:rsidR="00000000" w:rsidDel="00000000" w:rsidP="00000000" w:rsidRDefault="00000000" w:rsidRPr="00000000" w14:paraId="0000008C">
      <w:pPr>
        <w:rPr/>
      </w:pPr>
      <w:hyperlink r:id="rId55">
        <w:r w:rsidDel="00000000" w:rsidR="00000000" w:rsidRPr="00000000">
          <w:rPr>
            <w:color w:val="0000ff"/>
            <w:u w:val="single"/>
            <w:rtl w:val="0"/>
          </w:rPr>
          <w:t xml:space="preserve">https://www.hrsa.gov/</w:t>
        </w:r>
      </w:hyperlink>
      <w:r w:rsidDel="00000000" w:rsidR="00000000" w:rsidRPr="00000000">
        <w:rPr>
          <w:rtl w:val="0"/>
        </w:rPr>
        <w:t xml:space="preserve"> </w:t>
      </w:r>
    </w:p>
    <w:p w:rsidR="00000000" w:rsidDel="00000000" w:rsidP="00000000" w:rsidRDefault="00000000" w:rsidRPr="00000000" w14:paraId="0000008D">
      <w:pPr>
        <w:rPr/>
      </w:pPr>
      <w:hyperlink r:id="rId56">
        <w:r w:rsidDel="00000000" w:rsidR="00000000" w:rsidRPr="00000000">
          <w:rPr>
            <w:color w:val="0000ff"/>
            <w:u w:val="single"/>
            <w:rtl w:val="0"/>
          </w:rPr>
          <w:t xml:space="preserve">https://www.aafp.org/about/</w:t>
        </w:r>
      </w:hyperlink>
      <w:r w:rsidDel="00000000" w:rsidR="00000000" w:rsidRPr="00000000">
        <w:rPr>
          <w:rtl w:val="0"/>
        </w:rPr>
        <w:t xml:space="preserve"> </w:t>
      </w:r>
    </w:p>
    <w:p w:rsidR="00000000" w:rsidDel="00000000" w:rsidP="00000000" w:rsidRDefault="00000000" w:rsidRPr="00000000" w14:paraId="0000008E">
      <w:pPr>
        <w:rPr/>
      </w:pPr>
      <w:hyperlink r:id="rId57">
        <w:r w:rsidDel="00000000" w:rsidR="00000000" w:rsidRPr="00000000">
          <w:rPr>
            <w:color w:val="0000ff"/>
            <w:u w:val="single"/>
            <w:rtl w:val="0"/>
          </w:rPr>
          <w:t xml:space="preserve">https://www.aapc.com/</w:t>
        </w:r>
      </w:hyperlink>
      <w:r w:rsidDel="00000000" w:rsidR="00000000" w:rsidRPr="00000000">
        <w:rPr>
          <w:rtl w:val="0"/>
        </w:rPr>
      </w:r>
    </w:p>
    <w:sectPr>
      <w:headerReference r:id="rId58" w:type="default"/>
      <w:footerReference r:id="rId5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ouglas Falk" w:id="1" w:date="2020-12-23T21:35:27Z">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w:t>
      </w:r>
    </w:p>
  </w:comment>
  <w:comment w:author="Douglas Falk" w:id="2" w:date="2020-12-23T21:36:07Z">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comment>
  <w:comment w:author="Douglas Falk" w:id="0" w:date="2020-12-23T21:34:52Z">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15</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2" w15:done="0"/>
  <w15:commentEx w15:paraId="00000093" w15:done="0"/>
  <w15:commentEx w15:paraId="0000009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655700"/>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semiHidden w:val="1"/>
    <w:unhideWhenUsed w:val="1"/>
    <w:qFormat w:val="1"/>
    <w:rsid w:val="008730A3"/>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semiHidden w:val="1"/>
    <w:unhideWhenUsed w:val="1"/>
    <w:qFormat w:val="1"/>
    <w:rsid w:val="00EA5FD8"/>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link w:val="Heading4Char"/>
    <w:uiPriority w:val="9"/>
    <w:qFormat w:val="1"/>
    <w:rsid w:val="00632828"/>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32828"/>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632828"/>
    <w:rPr>
      <w:color w:val="0000ff"/>
      <w:u w:val="single"/>
    </w:rPr>
  </w:style>
  <w:style w:type="character" w:styleId="Heading4Char" w:customStyle="1">
    <w:name w:val="Heading 4 Char"/>
    <w:basedOn w:val="DefaultParagraphFont"/>
    <w:link w:val="Heading4"/>
    <w:uiPriority w:val="9"/>
    <w:rsid w:val="00632828"/>
    <w:rPr>
      <w:rFonts w:ascii="Times New Roman" w:cs="Times New Roman" w:eastAsia="Times New Roman" w:hAnsi="Times New Roman"/>
      <w:b w:val="1"/>
      <w:bCs w:val="1"/>
      <w:sz w:val="24"/>
      <w:szCs w:val="24"/>
    </w:rPr>
  </w:style>
  <w:style w:type="character" w:styleId="Emphasis">
    <w:name w:val="Emphasis"/>
    <w:basedOn w:val="DefaultParagraphFont"/>
    <w:uiPriority w:val="20"/>
    <w:qFormat w:val="1"/>
    <w:rsid w:val="00D77708"/>
    <w:rPr>
      <w:i w:val="1"/>
      <w:iCs w:val="1"/>
    </w:rPr>
  </w:style>
  <w:style w:type="character" w:styleId="Heading1Char" w:customStyle="1">
    <w:name w:val="Heading 1 Char"/>
    <w:basedOn w:val="DefaultParagraphFont"/>
    <w:link w:val="Heading1"/>
    <w:uiPriority w:val="9"/>
    <w:rsid w:val="00655700"/>
    <w:rPr>
      <w:rFonts w:asciiTheme="majorHAnsi" w:cstheme="majorBidi" w:eastAsiaTheme="majorEastAsia" w:hAnsiTheme="majorHAnsi"/>
      <w:color w:val="2e74b5" w:themeColor="accent1" w:themeShade="0000BF"/>
      <w:sz w:val="32"/>
      <w:szCs w:val="32"/>
    </w:rPr>
  </w:style>
  <w:style w:type="character" w:styleId="glossary-link" w:customStyle="1">
    <w:name w:val="glossary-link"/>
    <w:basedOn w:val="DefaultParagraphFont"/>
    <w:rsid w:val="00655700"/>
  </w:style>
  <w:style w:type="paragraph" w:styleId="NoSpacing">
    <w:name w:val="No Spacing"/>
    <w:uiPriority w:val="1"/>
    <w:qFormat w:val="1"/>
    <w:rsid w:val="00F345BB"/>
    <w:pPr>
      <w:spacing w:after="0" w:line="240" w:lineRule="auto"/>
    </w:pPr>
  </w:style>
  <w:style w:type="character" w:styleId="field" w:customStyle="1">
    <w:name w:val="field"/>
    <w:basedOn w:val="DefaultParagraphFont"/>
    <w:rsid w:val="008730A3"/>
  </w:style>
  <w:style w:type="character" w:styleId="Heading2Char" w:customStyle="1">
    <w:name w:val="Heading 2 Char"/>
    <w:basedOn w:val="DefaultParagraphFont"/>
    <w:link w:val="Heading2"/>
    <w:uiPriority w:val="9"/>
    <w:semiHidden w:val="1"/>
    <w:rsid w:val="008730A3"/>
    <w:rPr>
      <w:rFonts w:asciiTheme="majorHAnsi" w:cstheme="majorBidi" w:eastAsiaTheme="majorEastAsia" w:hAnsiTheme="majorHAnsi"/>
      <w:color w:val="2e74b5" w:themeColor="accent1" w:themeShade="0000BF"/>
      <w:sz w:val="26"/>
      <w:szCs w:val="26"/>
    </w:rPr>
  </w:style>
  <w:style w:type="character" w:styleId="e24kjd" w:customStyle="1">
    <w:name w:val="e24kjd"/>
    <w:basedOn w:val="DefaultParagraphFont"/>
    <w:rsid w:val="008730A3"/>
  </w:style>
  <w:style w:type="character" w:styleId="hvr" w:customStyle="1">
    <w:name w:val="hvr"/>
    <w:basedOn w:val="DefaultParagraphFont"/>
    <w:rsid w:val="00045F85"/>
  </w:style>
  <w:style w:type="character" w:styleId="Strong">
    <w:name w:val="Strong"/>
    <w:basedOn w:val="DefaultParagraphFont"/>
    <w:uiPriority w:val="22"/>
    <w:qFormat w:val="1"/>
    <w:rsid w:val="009A7F33"/>
    <w:rPr>
      <w:b w:val="1"/>
      <w:bCs w:val="1"/>
    </w:rPr>
  </w:style>
  <w:style w:type="character" w:styleId="sr-only" w:customStyle="1">
    <w:name w:val="sr-only"/>
    <w:basedOn w:val="DefaultParagraphFont"/>
    <w:rsid w:val="007F6532"/>
  </w:style>
  <w:style w:type="character" w:styleId="term" w:customStyle="1">
    <w:name w:val="term"/>
    <w:basedOn w:val="DefaultParagraphFont"/>
    <w:rsid w:val="0032027E"/>
  </w:style>
  <w:style w:type="character" w:styleId="Heading3Char" w:customStyle="1">
    <w:name w:val="Heading 3 Char"/>
    <w:basedOn w:val="DefaultParagraphFont"/>
    <w:link w:val="Heading3"/>
    <w:uiPriority w:val="9"/>
    <w:semiHidden w:val="1"/>
    <w:rsid w:val="00EA5FD8"/>
    <w:rPr>
      <w:rFonts w:asciiTheme="majorHAnsi" w:cstheme="majorBidi" w:eastAsiaTheme="majorEastAsia" w:hAnsiTheme="majorHAnsi"/>
      <w:color w:val="1f4d78" w:themeColor="accent1" w:themeShade="00007F"/>
      <w:sz w:val="24"/>
      <w:szCs w:val="24"/>
    </w:rPr>
  </w:style>
  <w:style w:type="paragraph" w:styleId="p" w:customStyle="1">
    <w:name w:val="p"/>
    <w:basedOn w:val="Normal"/>
    <w:rsid w:val="002D43B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0C1188"/>
    <w:pPr>
      <w:ind w:left="720"/>
      <w:contextualSpacing w:val="1"/>
    </w:pPr>
  </w:style>
  <w:style w:type="paragraph" w:styleId="Header">
    <w:name w:val="header"/>
    <w:basedOn w:val="Normal"/>
    <w:link w:val="HeaderChar"/>
    <w:uiPriority w:val="99"/>
    <w:unhideWhenUsed w:val="1"/>
    <w:rsid w:val="00E42B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2B42"/>
  </w:style>
  <w:style w:type="paragraph" w:styleId="Footer">
    <w:name w:val="footer"/>
    <w:basedOn w:val="Normal"/>
    <w:link w:val="FooterChar"/>
    <w:uiPriority w:val="99"/>
    <w:unhideWhenUsed w:val="1"/>
    <w:rsid w:val="00E42B4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2B42"/>
  </w:style>
  <w:style w:type="character" w:styleId="FollowedHyperlink">
    <w:name w:val="FollowedHyperlink"/>
    <w:basedOn w:val="DefaultParagraphFont"/>
    <w:uiPriority w:val="99"/>
    <w:semiHidden w:val="1"/>
    <w:unhideWhenUsed w:val="1"/>
    <w:rsid w:val="007316AE"/>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edicare.gov/coverage/nursing-home-care.html" TargetMode="External"/><Relationship Id="rId42" Type="http://schemas.openxmlformats.org/officeDocument/2006/relationships/hyperlink" Target="https://www.healthit.gov/" TargetMode="External"/><Relationship Id="rId41" Type="http://schemas.openxmlformats.org/officeDocument/2006/relationships/hyperlink" Target="https://www.cms.gov/" TargetMode="External"/><Relationship Id="rId44" Type="http://schemas.openxmlformats.org/officeDocument/2006/relationships/hyperlink" Target="https://www.hhs.gov/" TargetMode="External"/><Relationship Id="rId43" Type="http://schemas.openxmlformats.org/officeDocument/2006/relationships/hyperlink" Target="https://www.healthcare.gov/" TargetMode="External"/><Relationship Id="rId46" Type="http://schemas.openxmlformats.org/officeDocument/2006/relationships/hyperlink" Target="https://www.cdc.gov/" TargetMode="External"/><Relationship Id="rId45" Type="http://schemas.openxmlformats.org/officeDocument/2006/relationships/hyperlink" Target="https://qpp.cms.go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insynchcs.com/healthcare-data-solutions/mental-health-practices" TargetMode="External"/><Relationship Id="rId48" Type="http://schemas.openxmlformats.org/officeDocument/2006/relationships/hyperlink" Target="https://medlineplus.gov/" TargetMode="External"/><Relationship Id="rId47" Type="http://schemas.openxmlformats.org/officeDocument/2006/relationships/hyperlink" Target="https://www.ncbi.nlm.nih.gov/" TargetMode="External"/><Relationship Id="rId49" Type="http://schemas.openxmlformats.org/officeDocument/2006/relationships/hyperlink" Target="https://pubmed.ncbi.nlm.nih.gov/"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hatis.techtarget.com/definition/alphanumeric-alphameric" TargetMode="External"/><Relationship Id="rId30" Type="http://schemas.openxmlformats.org/officeDocument/2006/relationships/hyperlink" Target="https://www.directtrust.org/" TargetMode="External"/><Relationship Id="rId33" Type="http://schemas.openxmlformats.org/officeDocument/2006/relationships/hyperlink" Target="https://www.aafp.org/practice-management/payment/medicare-payment/aapms.html" TargetMode="External"/><Relationship Id="rId32" Type="http://schemas.openxmlformats.org/officeDocument/2006/relationships/hyperlink" Target="https://www.aafp.org/practice-management/payment/medicare-payment/mips.html" TargetMode="External"/><Relationship Id="rId35" Type="http://schemas.openxmlformats.org/officeDocument/2006/relationships/hyperlink" Target="https://www.healthit.gov/policy-researchers-implementers/health-it-legislation" TargetMode="External"/><Relationship Id="rId34" Type="http://schemas.openxmlformats.org/officeDocument/2006/relationships/hyperlink" Target="https://www.alarisworld.com/en-us/landing-page/healthcare-capture" TargetMode="External"/><Relationship Id="rId37" Type="http://schemas.openxmlformats.org/officeDocument/2006/relationships/hyperlink" Target="https://en.wikipedia.org/wiki/Digital_image" TargetMode="External"/><Relationship Id="rId36" Type="http://schemas.openxmlformats.org/officeDocument/2006/relationships/hyperlink" Target="https://en.wikipedia.org/wiki/Medical_imaging" TargetMode="External"/><Relationship Id="rId39" Type="http://schemas.openxmlformats.org/officeDocument/2006/relationships/hyperlink" Target="https://www.medicare.gov/coverage/skilled-nursing-facility-care.html" TargetMode="External"/><Relationship Id="rId38" Type="http://schemas.openxmlformats.org/officeDocument/2006/relationships/hyperlink" Target="https://catalyst.nejm.org/what-is-value-based-healthcare/" TargetMode="External"/><Relationship Id="rId20" Type="http://schemas.openxmlformats.org/officeDocument/2006/relationships/hyperlink" Target="https://en.wikipedia.org/wiki/HealthCare.gov" TargetMode="External"/><Relationship Id="rId22" Type="http://schemas.openxmlformats.org/officeDocument/2006/relationships/hyperlink" Target="https://www.healthit.gov/providers-professionals/learn-ehr-basics" TargetMode="External"/><Relationship Id="rId21" Type="http://schemas.openxmlformats.org/officeDocument/2006/relationships/hyperlink" Target="https://www.physicianspractice.com/DrJones@Direct.JonesFamilyPractice.com" TargetMode="External"/><Relationship Id="rId24" Type="http://schemas.openxmlformats.org/officeDocument/2006/relationships/hyperlink" Target="https://www.aapc.com/resources/medical-coding/cpt.aspx" TargetMode="External"/><Relationship Id="rId23" Type="http://schemas.openxmlformats.org/officeDocument/2006/relationships/hyperlink" Target="https://www.aapc.com/resources/medical-coding/cpt.aspx" TargetMode="External"/><Relationship Id="rId26" Type="http://schemas.openxmlformats.org/officeDocument/2006/relationships/hyperlink" Target="https://www.directtrust.org/about-dtaap/" TargetMode="External"/><Relationship Id="rId25" Type="http://schemas.openxmlformats.org/officeDocument/2006/relationships/hyperlink" Target="https://www.aapc.com/resources/medical-coding/cpt.aspx" TargetMode="External"/><Relationship Id="rId28" Type="http://schemas.openxmlformats.org/officeDocument/2006/relationships/hyperlink" Target="https://www.directtrust.org/interoperability-testing-matrices/" TargetMode="External"/><Relationship Id="rId27" Type="http://schemas.openxmlformats.org/officeDocument/2006/relationships/hyperlink" Target="https://www.datamotionhealth.com/solutions/direct-secure-messaging-3/?__hstc=113386264.079f4ac4020c44b05215a5c76f174b59.1594403432806.1594403432806.1594403432806.1&amp;__hssc=113386264.1.1594403432807&amp;__hsfp=2448812667" TargetMode="External"/><Relationship Id="rId29" Type="http://schemas.openxmlformats.org/officeDocument/2006/relationships/hyperlink" Target="https://www.healthit.gov/sites/default/files/directbasicsforprovidersqa_05092014.pdf" TargetMode="External"/><Relationship Id="rId51" Type="http://schemas.openxmlformats.org/officeDocument/2006/relationships/hyperlink" Target="https://privacyruleandresearch.nih.gov/" TargetMode="External"/><Relationship Id="rId50" Type="http://schemas.openxmlformats.org/officeDocument/2006/relationships/hyperlink" Target="https://www.hipaajournal.com/" TargetMode="External"/><Relationship Id="rId53" Type="http://schemas.openxmlformats.org/officeDocument/2006/relationships/hyperlink" Target="http://www.medicare.gov" TargetMode="External"/><Relationship Id="rId52" Type="http://schemas.openxmlformats.org/officeDocument/2006/relationships/hyperlink" Target="https://www.healthcareitnews.com/" TargetMode="External"/><Relationship Id="rId11" Type="http://schemas.openxmlformats.org/officeDocument/2006/relationships/hyperlink" Target="https://www.healthit.gov/" TargetMode="External"/><Relationship Id="rId55" Type="http://schemas.openxmlformats.org/officeDocument/2006/relationships/hyperlink" Target="https://www.hrsa.gov/" TargetMode="External"/><Relationship Id="rId10" Type="http://schemas.openxmlformats.org/officeDocument/2006/relationships/hyperlink" Target="https://revcycleintelligence.com/news/understanding-the-basics-of-bundled-payments-in-healthcare" TargetMode="External"/><Relationship Id="rId54" Type="http://schemas.openxmlformats.org/officeDocument/2006/relationships/hyperlink" Target="https://catalyst.nejm.org/" TargetMode="External"/><Relationship Id="rId13" Type="http://schemas.openxmlformats.org/officeDocument/2006/relationships/hyperlink" Target="https://en.wikipedia.org/wiki/Medicare_(United_States)" TargetMode="External"/><Relationship Id="rId57" Type="http://schemas.openxmlformats.org/officeDocument/2006/relationships/hyperlink" Target="https://www.aapc.com/" TargetMode="External"/><Relationship Id="rId12" Type="http://schemas.openxmlformats.org/officeDocument/2006/relationships/hyperlink" Target="https://qpp.cms.gov/" TargetMode="External"/><Relationship Id="rId56" Type="http://schemas.openxmlformats.org/officeDocument/2006/relationships/hyperlink" Target="https://www.aafp.org/about/" TargetMode="External"/><Relationship Id="rId15" Type="http://schemas.openxmlformats.org/officeDocument/2006/relationships/hyperlink" Target="https://en.wikipedia.org/wiki/Children%27s_Health_Insurance_Program" TargetMode="External"/><Relationship Id="rId59" Type="http://schemas.openxmlformats.org/officeDocument/2006/relationships/footer" Target="footer1.xml"/><Relationship Id="rId14" Type="http://schemas.openxmlformats.org/officeDocument/2006/relationships/hyperlink" Target="https://en.wikipedia.org/wiki/Medicaid" TargetMode="External"/><Relationship Id="rId58" Type="http://schemas.openxmlformats.org/officeDocument/2006/relationships/header" Target="header1.xml"/><Relationship Id="rId17" Type="http://schemas.openxmlformats.org/officeDocument/2006/relationships/hyperlink" Target="https://en.wikipedia.org/wiki/Long-term_care" TargetMode="External"/><Relationship Id="rId16" Type="http://schemas.openxmlformats.org/officeDocument/2006/relationships/hyperlink" Target="https://en.wikipedia.org/wiki/Health_Insurance_Portability_and_Accountability_Act" TargetMode="External"/><Relationship Id="rId19" Type="http://schemas.openxmlformats.org/officeDocument/2006/relationships/hyperlink" Target="https://en.wikipedia.org/wiki/Clinical_Laboratory_Improvement_Amendments" TargetMode="External"/><Relationship Id="rId18" Type="http://schemas.openxmlformats.org/officeDocument/2006/relationships/hyperlink" Target="https://en.wikipedia.org/wiki/Nursing_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IRGAbUdQ5iKnW2+ZOl10qYMbQ==">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2020-07-13T15:54:00Z</dcterms:created>
  <dc:creator>Danielle Morrison</dc:creator>
</cp:coreProperties>
</file>