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Checked for duplicates first.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4943475" cy="21717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ffffff"/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First looked at basic 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ffff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434343"/>
          <w:sz w:val="42"/>
          <w:szCs w:val="42"/>
        </w:rPr>
      </w:pP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943600" cy="2260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943600" cy="25146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495925" cy="3371850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943600" cy="135890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248275" cy="4333875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314950" cy="3571875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229225" cy="408622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4857750" cy="4181475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</w:rPr>
        <w:drawing>
          <wp:inline distB="114300" distT="114300" distL="114300" distR="114300">
            <wp:extent cx="5943600" cy="3098800"/>
            <wp:effectExtent b="0" l="0" r="0" t="0"/>
            <wp:docPr id="1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sz w:val="42"/>
          <w:szCs w:val="42"/>
        </w:rPr>
      </w:pPr>
      <w:r w:rsidDel="00000000" w:rsidR="00000000" w:rsidRPr="00000000">
        <w:rPr>
          <w:color w:val="434343"/>
          <w:sz w:val="42"/>
          <w:szCs w:val="42"/>
          <w:rtl w:val="0"/>
        </w:rPr>
        <w:t xml:space="preserve">Use CASE statemen</w:t>
      </w:r>
      <w:r w:rsidDel="00000000" w:rsidR="00000000" w:rsidRPr="00000000">
        <w:rPr>
          <w:sz w:val="42"/>
          <w:szCs w:val="42"/>
          <w:rtl w:val="0"/>
        </w:rPr>
        <w:t xml:space="preserve">ts to create time categories to see how churn varied for tenure.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47117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4163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34075" cy="5743575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38608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t xml:space="preserve">Combined all churn categories into one big query to see the overview.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rPr>
          <w:color w:val="434343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11303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1485900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943600" cy="16637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42"/>
          <w:szCs w:val="42"/>
          <w:rtl w:val="0"/>
        </w:rPr>
        <w:t xml:space="preserve">varied for tenure.high level view of churn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17.jpg"/><Relationship Id="rId22" Type="http://schemas.openxmlformats.org/officeDocument/2006/relationships/image" Target="media/image13.jpg"/><Relationship Id="rId10" Type="http://schemas.openxmlformats.org/officeDocument/2006/relationships/image" Target="media/image14.jpg"/><Relationship Id="rId21" Type="http://schemas.openxmlformats.org/officeDocument/2006/relationships/image" Target="media/image15.jpg"/><Relationship Id="rId13" Type="http://schemas.openxmlformats.org/officeDocument/2006/relationships/image" Target="media/image7.jpg"/><Relationship Id="rId12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2.jpg"/><Relationship Id="rId14" Type="http://schemas.openxmlformats.org/officeDocument/2006/relationships/image" Target="media/image11.jpg"/><Relationship Id="rId17" Type="http://schemas.openxmlformats.org/officeDocument/2006/relationships/image" Target="media/image6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1.jpg"/><Relationship Id="rId18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