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gp_agent_rules"/>
      <w:r>
        <w:rPr>
          <w:rFonts w:eastAsia="source serif 4" w:cs="source serif 4" w:ascii="source serif 4" w:hAnsi="source serif 4"/>
          <w:b/>
          <w:color w:val="000000"/>
          <w:sz w:val="39"/>
        </w:rPr>
        <w:t xml:space="preserve">TGP Agent Rules</w:t>
      </w:r>
      <w:bookmarkEnd w:id="0"/>
    </w:p>
    <w:p>
      <w:pPr>
        <w:spacing w:line="360" w:after="210" w:lineRule="auto"/>
      </w:pPr>
      <w:r>
        <w:rPr>
          <w:rFonts w:eastAsia="source serif 4" w:cs="source serif 4" w:ascii="source serif 4" w:hAnsi="source serif 4"/>
          <w:color w:val="000000"/>
        </w:rPr>
        <w:t xml:space="preserve">Status: PROPOSED, NOT EFFECTIVE. This is a replacement constitution for operator review, not authorization to change repositories, protections, production, or existing findings. It becomes effective only after explicit adoption and verification of the controls on which each procedural reduction depends.</w:t>
      </w:r>
    </w:p>
    <w:p>
      <w:pPr>
        <w:spacing w:line="360" w:after="210" w:lineRule="auto"/>
      </w:pPr>
      <w:r>
        <w:rPr>
          <w:rFonts w:eastAsia="source serif 4" w:cs="source serif 4" w:ascii="source serif 4" w:hAnsi="source serif 4"/>
          <w:color w:val="000000"/>
        </w:rPr>
        <w:t xml:space="preserve">Purpose: deliver excellent software with the least process that reliably protects customers, data, work, and truthful decisions. Move quickly on reversible work, apply strong judgment at consequential boundaries, and prove integrated product quality at release.</w:t>
      </w:r>
    </w:p>
    <w:p>
      <w:pPr>
        <w:spacing w:line="360" w:before="315" w:after="105" w:lineRule="auto"/>
        <w:ind w:left="-30"/>
        <w:jc w:val="left"/>
      </w:pPr>
      <w:bookmarkStart w:id="1" w:name="authority_quality_and_ownership"/>
      <w:r>
        <w:rPr>
          <w:rFonts w:eastAsia="source serif 4" w:cs="source serif 4" w:ascii="source serif 4" w:hAnsi="source serif 4"/>
          <w:b/>
          <w:color w:val="000000"/>
          <w:sz w:val="24"/>
        </w:rPr>
        <w:t xml:space="preserve">Authority, quality, and ownership</w:t>
      </w:r>
      <w:bookmarkEnd w:id="1"/>
    </w:p>
    <w:p>
      <w:pPr>
        <w:spacing w:line="360" w:before="315" w:after="105" w:lineRule="auto"/>
        <w:ind w:left="-30"/>
        <w:jc w:val="left"/>
      </w:pPr>
      <w:bookmarkStart w:id="2" w:name="g01_one_constitution_explicit_authority"/>
      <w:r>
        <w:rPr>
          <w:rFonts w:eastAsia="source serif 4" w:cs="source serif 4" w:ascii="source serif 4" w:hAnsi="source serif 4"/>
          <w:b/>
          <w:color w:val="000000"/>
          <w:sz w:val="24"/>
        </w:rPr>
        <w:t xml:space="preserve">G01: One constitution, explicit authority</w:t>
      </w:r>
      <w:bookmarkEnd w:id="2"/>
    </w:p>
    <w:p>
      <w:pPr>
        <w:spacing w:line="360" w:after="210" w:lineRule="auto"/>
      </w:pPr>
      <w:r>
        <w:rPr>
          <w:rFonts w:eastAsia="source serif 4" w:cs="source serif 4" w:ascii="source serif 4" w:hAnsi="source serif 4"/>
          <w:color w:val="000000"/>
        </w:rPr>
        <w:t xml:space="preserve">After adoption, this file replaces the old numbered rules, audit-process addenda, and conflicting generic procedure in continuation plans. It does not erase historical evidence, unresolved material findings, product acceptance criteria, or dependency ordering.</w:t>
      </w:r>
    </w:p>
    <w:p>
      <w:pPr>
        <w:spacing w:line="360" w:after="210" w:lineRule="auto"/>
      </w:pPr>
      <w:r>
        <w:rPr>
          <w:rFonts w:eastAsia="source serif 4" w:cs="source serif 4" w:ascii="source serif 4" w:hAnsi="source serif 4"/>
          <w:color w:val="000000"/>
        </w:rPr>
        <w:t xml:space="preserve">Repository policy defines executable checks and domain-specific parameters. It cannot silently weaken this constitution. Changes to governance, trusted enforcement, review identity, or evidence publication are Tier 4. No candidate may approve its own weaker gate. Operator authority and applicable execution-platform restrictions still apply.</w:t>
      </w:r>
    </w:p>
    <w:p>
      <w:pPr>
        <w:spacing w:line="360" w:after="210" w:lineRule="auto"/>
      </w:pPr>
      <w:r>
        <w:rPr>
          <w:rFonts w:eastAsia="source serif 4" w:cs="source serif 4" w:ascii="source serif 4" w:hAnsi="source serif 4"/>
          <w:color w:val="000000"/>
        </w:rPr>
        <w:t xml:space="preserve">Existing concrete security, compatibility, retention, and recovery parameters remain effective until their owned replacements are approved. This transition protection does not preserve superseded generic audit ceremony or explicitly deleted volume quotas.</w:t>
      </w:r>
    </w:p>
    <w:p>
      <w:pPr>
        <w:spacing w:line="360" w:before="315" w:after="105" w:lineRule="auto"/>
        <w:ind w:left="-30"/>
        <w:jc w:val="left"/>
      </w:pPr>
      <w:bookmarkStart w:id="3" w:name="g02_customer_quality_is_the_outcome"/>
      <w:r>
        <w:rPr>
          <w:rFonts w:eastAsia="source serif 4" w:cs="source serif 4" w:ascii="source serif 4" w:hAnsi="source serif 4"/>
          <w:b/>
          <w:color w:val="000000"/>
          <w:sz w:val="24"/>
        </w:rPr>
        <w:t xml:space="preserve">G02: Customer quality is the outcome</w:t>
      </w:r>
      <w:bookmarkEnd w:id="3"/>
    </w:p>
    <w:p>
      <w:pPr>
        <w:spacing w:line="360" w:after="210" w:lineRule="auto"/>
      </w:pPr>
      <w:r>
        <w:rPr>
          <w:rFonts w:eastAsia="source serif 4" w:cs="source serif 4" w:ascii="source serif 4" w:hAnsi="source serif 4"/>
          <w:color w:val="000000"/>
        </w:rPr>
        <w:t xml:space="preserve">Deliver correct, coherent, usable, accessible, reliable behavior against explicit acceptance criteria. Customer-visible flows must provide real outcomes or accurate, actionable limitations and errors. Never present a stub, partial import, queued request, or local test as completed customer value.</w:t>
      </w:r>
    </w:p>
    <w:p>
      <w:pPr>
        <w:spacing w:line="360" w:after="210" w:lineRule="auto"/>
      </w:pPr>
      <w:r>
        <w:rPr>
          <w:rFonts w:eastAsia="source serif 4" w:cs="source serif 4" w:ascii="source serif 4" w:hAnsi="source serif 4"/>
          <w:color w:val="000000"/>
        </w:rPr>
        <w:t xml:space="preserve">Review changed experiences for clarity, WCAG 2.2 AA accessibility, approved localization conventions, failure states, recovery, performance, and visual coherence. Missing unrelated features are not automatic scope expansion. Use an approved truthful product boundary rather than hiding a failure or building an unrequested subsystem.</w:t>
      </w:r>
    </w:p>
    <w:p>
      <w:pPr>
        <w:spacing w:line="360" w:before="315" w:after="105" w:lineRule="auto"/>
        <w:ind w:left="-30"/>
        <w:jc w:val="left"/>
      </w:pPr>
      <w:bookmarkStart w:id="4" w:name="g03_work_within_a_clear_mandate"/>
      <w:r>
        <w:rPr>
          <w:rFonts w:eastAsia="source serif 4" w:cs="source serif 4" w:ascii="source serif 4" w:hAnsi="source serif 4"/>
          <w:b/>
          <w:color w:val="000000"/>
          <w:sz w:val="24"/>
        </w:rPr>
        <w:t xml:space="preserve">G03: Work within a clear mandate</w:t>
      </w:r>
      <w:bookmarkEnd w:id="4"/>
    </w:p>
    <w:p>
      <w:pPr>
        <w:spacing w:line="360" w:after="210" w:lineRule="auto"/>
      </w:pPr>
      <w:r>
        <w:rPr>
          <w:rFonts w:eastAsia="source serif 4" w:cs="source serif 4" w:ascii="source serif 4" w:hAnsi="source serif 4"/>
          <w:color w:val="000000"/>
        </w:rPr>
        <w:t xml:space="preserve">Each change has an owner, bounded scope, acceptance criteria, and known prerequisites. Small changes need only a concise description. Validate uncertain APIs, dependency versions, and architectural assumptions before expensive implementation.</w:t>
      </w:r>
    </w:p>
    <w:p>
      <w:pPr>
        <w:spacing w:line="360" w:after="210" w:lineRule="auto"/>
      </w:pPr>
      <w:r>
        <w:rPr>
          <w:rFonts w:eastAsia="source serif 4" w:cs="source serif 4" w:ascii="source serif 4" w:hAnsi="source serif 4"/>
          <w:color w:val="000000"/>
        </w:rPr>
        <w:t xml:space="preserve">Act autonomously within approved scope and reversible authority. Obtain explicit approval for new spending, external communications, destructive or irreversible actions, changes to the security/governance mandate, or commitments outside that authority. Record consequential decisions once; do not write a decision essay for routine implementation.</w:t>
      </w:r>
    </w:p>
    <w:p>
      <w:pPr>
        <w:spacing w:line="360" w:before="315" w:after="105" w:lineRule="auto"/>
        <w:ind w:left="-30"/>
        <w:jc w:val="left"/>
      </w:pPr>
      <w:bookmarkStart w:id="5" w:name="g04_never_lose_work_or_overwrite_cad614"/>
      <w:r>
        <w:rPr>
          <w:rFonts w:eastAsia="source serif 4" w:cs="source serif 4" w:ascii="source serif 4" w:hAnsi="source serif 4"/>
          <w:b/>
          <w:color w:val="000000"/>
          <w:sz w:val="24"/>
        </w:rPr>
        <w:t xml:space="preserve">G04: Never lose work or overwrite another owner</w:t>
      </w:r>
      <w:bookmarkEnd w:id="5"/>
    </w:p>
    <w:p>
      <w:pPr>
        <w:spacing w:line="360" w:after="210" w:lineRule="auto"/>
      </w:pPr>
      <w:r>
        <w:rPr>
          <w:rFonts w:eastAsia="source serif 4" w:cs="source serif 4" w:ascii="source serif 4" w:hAnsi="source serif 4"/>
          <w:color w:val="000000"/>
        </w:rPr>
        <w:t xml:space="preserve">Use an isolated branch/worktree and one writer for each owned mutable area. Coordinate overlapping changes before writing. Preserve meaningful work in approved durable storage at checkpoints and before handoff, pause, context loss, or risky operations. Meet the operator-approved recovery window; until one is adopted, retain the existing safe checkpoint cadence.</w:t>
      </w:r>
    </w:p>
    <w:p>
      <w:pPr>
        <w:spacing w:line="360" w:after="210" w:lineRule="auto"/>
      </w:pPr>
      <w:r>
        <w:rPr>
          <w:rFonts w:eastAsia="source serif 4" w:cs="source serif 4" w:ascii="source serif 4" w:hAnsi="source serif 4"/>
          <w:color w:val="000000"/>
        </w:rPr>
        <w:t xml:space="preserve">Publish concise handoffs containing the current source, remaining work, blockers, and next action. Preserve original evidence and clearly distinguish recovery from reimplementation. Never fabricate missing history. Do not push secrets, customer data, or private audit material into a public repository.</w:t>
      </w:r>
    </w:p>
    <w:p>
      <w:pPr>
        <w:spacing w:line="360" w:before="315" w:after="105" w:lineRule="auto"/>
        <w:ind w:left="-30"/>
        <w:jc w:val="left"/>
      </w:pPr>
      <w:bookmarkStart w:id="6" w:name="g05_authentic_identity_and_provenance"/>
      <w:r>
        <w:rPr>
          <w:rFonts w:eastAsia="source serif 4" w:cs="source serif 4" w:ascii="source serif 4" w:hAnsi="source serif 4"/>
          <w:b/>
          <w:color w:val="000000"/>
          <w:sz w:val="24"/>
        </w:rPr>
        <w:t xml:space="preserve">G05: Authentic identity and provenance</w:t>
      </w:r>
      <w:bookmarkEnd w:id="6"/>
    </w:p>
    <w:p>
      <w:pPr>
        <w:spacing w:line="360" w:after="210" w:lineRule="auto"/>
      </w:pPr>
      <w:r>
        <w:rPr>
          <w:rFonts w:eastAsia="source serif 4" w:cs="source serif 4" w:ascii="source serif 4" w:hAnsi="source serif 4"/>
          <w:color w:val="000000"/>
        </w:rPr>
        <w:t xml:space="preserve">Until explicitly changed by the operator, commits require author and committer </w:t>
      </w:r>
      <w:r>
        <w:rPr>
          <w:rStyle w:val="VerbatimChar"/>
          <w:rFonts w:eastAsia="menlo" w:cs="menlo" w:ascii="menlo" w:hAnsi="menlo"/>
          <w:color w:val="000000"/>
          <w:sz w:val="18"/>
          <w:shd w:val="clear" w:color="auto" w:fill="F8F8FA"/>
        </w:rPr>
        <w:t xml:space="preserve">Bradley Gleave &lt;bradley@bradleytgpcoaching.com&gt;</w:t>
      </w:r>
      <w:r>
        <w:rPr>
          <w:rFonts w:eastAsia="source serif 4" w:cs="source serif 4" w:ascii="source serif 4" w:hAnsi="source serif 4"/>
          <w:color w:val="000000"/>
        </w:rPr>
        <w:t xml:space="preserve">, with no AI co-author attribution. Verify both fields on the commit actually landed. Do not confuse these fields with a verified cryptographic signature or independent human review.</w:t>
      </w:r>
    </w:p>
    <w:p>
      <w:pPr>
        <w:spacing w:line="360" w:after="210" w:lineRule="auto"/>
      </w:pPr>
      <w:r>
        <w:rPr>
          <w:rFonts w:eastAsia="source serif 4" w:cs="source serif 4" w:ascii="source serif 4" w:hAnsi="source serif 4"/>
          <w:color w:val="000000"/>
        </w:rPr>
        <w:t xml:space="preserve">Use a merge route compatible with protected branches and the approved identity policy. If they conflict, stop for an operator decision; do not bypass protection. Record actual tools and reviewers honestly. Never invent a model identity, approval, signature, or execution result.</w:t>
      </w:r>
    </w:p>
    <w:p>
      <w:pPr>
        <w:spacing w:line="360" w:before="315" w:after="105" w:lineRule="auto"/>
        <w:ind w:left="-30"/>
        <w:jc w:val="left"/>
      </w:pPr>
      <w:bookmarkStart w:id="7" w:name="risk_verification_and_review"/>
      <w:r>
        <w:rPr>
          <w:rFonts w:eastAsia="source serif 4" w:cs="source serif 4" w:ascii="source serif 4" w:hAnsi="source serif 4"/>
          <w:b/>
          <w:color w:val="000000"/>
          <w:sz w:val="24"/>
        </w:rPr>
        <w:t xml:space="preserve">Risk, verification, and review</w:t>
      </w:r>
      <w:bookmarkEnd w:id="7"/>
    </w:p>
    <w:p>
      <w:pPr>
        <w:spacing w:line="360" w:before="315" w:after="105" w:lineRule="auto"/>
        <w:ind w:left="-30"/>
        <w:jc w:val="left"/>
      </w:pPr>
      <w:bookmarkStart w:id="8" w:name="g06_classify_by_consequence_not_f_36bc33"/>
      <w:r>
        <w:rPr>
          <w:rFonts w:eastAsia="source serif 4" w:cs="source serif 4" w:ascii="source serif 4" w:hAnsi="source serif 4"/>
          <w:b/>
          <w:color w:val="000000"/>
          <w:sz w:val="24"/>
        </w:rPr>
        <w:t xml:space="preserve">G06: Classify by consequence, not file size</w:t>
      </w:r>
      <w:bookmarkEnd w:id="8"/>
    </w:p>
    <w:p>
      <w:pPr>
        <w:spacing w:line="360" w:after="210" w:lineRule="auto"/>
      </w:pPr>
      <w:r>
        <w:rPr>
          <w:rFonts w:eastAsia="source serif 4" w:cs="source serif 4" w:ascii="source serif 4" w:hAnsi="source serif 4"/>
          <w:color w:val="000000"/>
        </w:rPr>
        <w:t xml:space="preserve">Use the highest applicable tier for the cumulative change and its dependencies. Labels, small PRs, documentation extensions, flags, and apparent reversibility do not lower actual blast radius. Policy, tests, or configuration that weaken a critical boundary inherit that boundary's tier.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Scope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Minimum assurance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Trivial, reversible content or cosmetic change with no behavior, contract, accessibility, security, or enforcement effect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Applicable deterministic checks, clean diff, identity, normal CI; no mandatory AI audit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Isolated private implementation with bounded effects and good automated coverage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Appropriate tests, static/security checks, targeted AI code review, clean CI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Meaningful customer or business behavior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Tier 1 checks, applicable contract/integration validation, one independent adversarial audit, material finding closure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Shared architecture, infrastructure, contracts, or cross-cutting primitives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Strong coverage, architecture review, one independent adversarial audit; add a second independent lens for the triggers below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 privilege, RLS, tenancy, PII, money, credentials, destructive data, irreversible migration, security or enforcement boundaries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Comprehensive relevant tests and security analysis, exact-head/artifact evidence, two independent adversarial audits, explicit closure, boundary and recovery proof</w:t>
            </w:r>
          </w:p>
        </w:tc>
      </w:tr>
    </w:tbl>
    <w:p>
      <w:pPr>
        <w:spacing w:lineRule="auto"/>
      </w:pPr>
    </w:p>
    <w:p>
      <w:pPr>
        <w:spacing w:line="360" w:after="210" w:lineRule="auto"/>
      </w:pPr>
      <w:r>
        <w:rPr>
          <w:rFonts w:eastAsia="source serif 4" w:cs="source serif 4" w:ascii="source serif 4" w:hAnsi="source serif 4"/>
          <w:color w:val="000000"/>
        </w:rPr>
        <w:t xml:space="preserve">Tier 3 requires a second independent lens when multiple repositories are affected, persistent data contracts change, concurrency/state authority changes, a foundational primitive changes, blast radius is difficult to bound, or the first auditor identifies material architectural uncertainty. Architecture review may be part of an appropriately qualified independent audit rather than a separate ceremony.</w:t>
      </w:r>
    </w:p>
    <w:p>
      <w:pPr>
        <w:spacing w:line="360" w:after="210" w:lineRule="auto"/>
      </w:pPr>
      <w:r>
        <w:rPr>
          <w:rFonts w:eastAsia="source serif 4" w:cs="source serif 4" w:ascii="source serif 4" w:hAnsi="source serif 4"/>
          <w:color w:val="000000"/>
        </w:rPr>
        <w:t xml:space="preserve">Release acceptance is an additional integrated-system gate, not a tier applied to every PR. When blast radius is uncertain, use the higher plausible tier until the uncertainty is resolved. Downgrades require a recorded rationale and approval independent of the change author.</w:t>
      </w:r>
    </w:p>
    <w:p>
      <w:pPr>
        <w:spacing w:line="360" w:before="315" w:after="105" w:lineRule="auto"/>
        <w:ind w:left="-30"/>
        <w:jc w:val="left"/>
      </w:pPr>
      <w:bookmarkStart w:id="9" w:name="g07_deterministic_gates_are_trust_d652fe"/>
      <w:r>
        <w:rPr>
          <w:rFonts w:eastAsia="source serif 4" w:cs="source serif 4" w:ascii="source serif 4" w:hAnsi="source serif 4"/>
          <w:b/>
          <w:color w:val="000000"/>
          <w:sz w:val="24"/>
        </w:rPr>
        <w:t xml:space="preserve">G07: Deterministic gates are trusted and fail closed</w:t>
      </w:r>
      <w:bookmarkEnd w:id="9"/>
    </w:p>
    <w:p>
      <w:pPr>
        <w:spacing w:line="360" w:after="210" w:lineRule="auto"/>
      </w:pPr>
      <w:r>
        <w:rPr>
          <w:rFonts w:eastAsia="source serif 4" w:cs="source serif 4" w:ascii="source serif 4" w:hAnsi="source serif 4"/>
          <w:color w:val="000000"/>
        </w:rPr>
        <w:t xml:space="preserve">CI enforces the applicable formatting, lint, type, build, test, secret, vulnerability, static-analysis, contract, ownership, and policy checks. Scope them to affected inputs where the selection mechanism is proven; otherwise use broader checks. Local hooks are fast feedback, not a second manual certification ritual.</w:t>
      </w:r>
    </w:p>
    <w:p>
      <w:pPr>
        <w:spacing w:line="360" w:after="210" w:lineRule="auto"/>
      </w:pPr>
      <w:r>
        <w:rPr>
          <w:rFonts w:eastAsia="source serif 4" w:cs="source serif 4" w:ascii="source serif 4" w:hAnsi="source serif 4"/>
          <w:color w:val="000000"/>
        </w:rPr>
        <w:t xml:space="preserve">A required check must actually execute, examine the intended source, and produce valid evidence. Skipped, missing, stale, empty, errored, or disabled scans are not success. Required checks and their applicability come from trusted policy outside the candidate's unilateral control. Verify enforcement with negative tests and actual repository settings, not workflow filenames or green badges alone.</w:t>
      </w:r>
    </w:p>
    <w:p>
      <w:pPr>
        <w:spacing w:line="360" w:before="315" w:after="105" w:lineRule="auto"/>
        <w:ind w:left="-30"/>
        <w:jc w:val="left"/>
      </w:pPr>
      <w:bookmarkStart w:id="10" w:name="g08_tests_prove_behavior_not_volume"/>
      <w:r>
        <w:rPr>
          <w:rFonts w:eastAsia="source serif 4" w:cs="source serif 4" w:ascii="source serif 4" w:hAnsi="source serif 4"/>
          <w:b/>
          <w:color w:val="000000"/>
          <w:sz w:val="24"/>
        </w:rPr>
        <w:t xml:space="preserve">G08: Tests prove behavior, not volume</w:t>
      </w:r>
      <w:bookmarkEnd w:id="10"/>
    </w:p>
    <w:p>
      <w:pPr>
        <w:spacing w:line="360" w:after="210" w:lineRule="auto"/>
      </w:pPr>
      <w:r>
        <w:rPr>
          <w:rFonts w:eastAsia="source serif 4" w:cs="source serif 4" w:ascii="source serif 4" w:hAnsi="source serif 4"/>
          <w:color w:val="000000"/>
        </w:rPr>
        <w:t xml:space="preserve">Test acceptance criteria, relevant regressions, failure modes, and consequential boundaries with meaningful assertions. Use integration, adversarial, concurrency, migration, and real-environment tests where unit tests cannot prove the claim. Record intentional skips and their effect on acceptance.</w:t>
      </w:r>
    </w:p>
    <w:p>
      <w:pPr>
        <w:spacing w:line="360" w:after="210" w:lineRule="auto"/>
      </w:pPr>
      <w:r>
        <w:rPr>
          <w:rFonts w:eastAsia="source serif 4" w:cs="source serif 4" w:ascii="source serif 4" w:hAnsi="source serif 4"/>
          <w:color w:val="000000"/>
        </w:rPr>
        <w:t xml:space="preserve">Use coverage and performance budgets as diagnostics and executable policy, not substitutes for judgment. Do not require a universal test-to-source LOC ratio, blanket PR-size exception essay, or fabricated tests for documentation. Broad changes still require broad validation. A claimed pre-existing failure needs attributable baseline evidence; never relabel a regression as a flake.</w:t>
      </w:r>
    </w:p>
    <w:p>
      <w:pPr>
        <w:spacing w:line="360" w:before="315" w:after="105" w:lineRule="auto"/>
        <w:ind w:left="-30"/>
        <w:jc w:val="left"/>
      </w:pPr>
      <w:bookmarkStart w:id="11" w:name="g09_bind_every_claim_to_its_real_e343b3"/>
      <w:r>
        <w:rPr>
          <w:rFonts w:eastAsia="source serif 4" w:cs="source serif 4" w:ascii="source serif 4" w:hAnsi="source serif 4"/>
          <w:b/>
          <w:color w:val="000000"/>
          <w:sz w:val="24"/>
        </w:rPr>
        <w:t xml:space="preserve">G09: Bind every claim to its real evidence</w:t>
      </w:r>
      <w:bookmarkEnd w:id="11"/>
    </w:p>
    <w:p>
      <w:pPr>
        <w:spacing w:line="360" w:after="210" w:lineRule="auto"/>
      </w:pPr>
      <w:r>
        <w:rPr>
          <w:rFonts w:eastAsia="source serif 4" w:cs="source serif 4" w:ascii="source serif 4" w:hAnsi="source serif 4"/>
          <w:color w:val="000000"/>
        </w:rPr>
        <w:t xml:space="preserve">Distinguish implemented, tested, reviewed, merge-eligible, landed, deployed, and product-accepted. State what ran, on which source and relevant environment, what passed, what did not run, and what remains unknown. GitHub mergeability, a plan review, or a passing unit suite is not release readiness.</w:t>
      </w:r>
    </w:p>
    <w:p>
      <w:pPr>
        <w:spacing w:line="360" w:after="210" w:lineRule="auto"/>
      </w:pPr>
      <w:r>
        <w:rPr>
          <w:rFonts w:eastAsia="source serif 4" w:cs="source serif 4" w:ascii="source serif 4" w:hAnsi="source serif 4"/>
          <w:color w:val="000000"/>
        </w:rPr>
        <w:t xml:space="preserve">Bind evidence to repository, relevant base/head, checks, and material inputs such as dependencies, toolchain, configuration, and policy. Use immutable references; use hashes for external/build artifacts where needed, not every prose document. Evidence can be reused only when its relevant inputs and validity remain unchanged. A changed head requires a new applicability decision and attestation, not an automatic claim of inherited approval.</w:t>
      </w:r>
    </w:p>
    <w:p>
      <w:pPr>
        <w:spacing w:line="360" w:before="315" w:after="105" w:lineRule="auto"/>
        <w:ind w:left="-30"/>
        <w:jc w:val="left"/>
      </w:pPr>
      <w:bookmarkStart w:id="12" w:name="g10_independent_review_is_proport_20e146"/>
      <w:r>
        <w:rPr>
          <w:rFonts w:eastAsia="source serif 4" w:cs="source serif 4" w:ascii="source serif 4" w:hAnsi="source serif 4"/>
          <w:b/>
          <w:color w:val="000000"/>
          <w:sz w:val="24"/>
        </w:rPr>
        <w:t xml:space="preserve">G10: Independent review is proportional and genuinely independent</w:t>
      </w:r>
      <w:bookmarkEnd w:id="12"/>
    </w:p>
    <w:p>
      <w:pPr>
        <w:spacing w:line="360" w:after="210" w:lineRule="auto"/>
      </w:pPr>
      <w:r>
        <w:rPr>
          <w:rFonts w:eastAsia="source serif 4" w:cs="source serif 4" w:ascii="source serif 4" w:hAnsi="source serif 4"/>
          <w:color w:val="000000"/>
        </w:rPr>
        <w:t xml:space="preserve">Meet G06's review requirement. Tier 1's targeted review is a focused code-review pass, not a mandatory full independent audit. For Tier 2 and above, independent auditors did not implement the change, receive an unbiased brief, and exercise their own judgment. Auditors are read-only against candidate source; a designated publisher preserves their reports. Tier 4's two auditors are independent of the authors and each other. A second token for the same account is not a second reviewer.</w:t>
      </w:r>
    </w:p>
    <w:p>
      <w:pPr>
        <w:spacing w:line="360" w:after="210" w:lineRule="auto"/>
      </w:pPr>
      <w:r>
        <w:rPr>
          <w:rFonts w:eastAsia="source serif 4" w:cs="source serif 4" w:ascii="source serif 4" w:hAnsi="source serif 4"/>
          <w:color w:val="000000"/>
        </w:rPr>
        <w:t xml:space="preserve">Auditors focus on hidden failure modes, architecture, boundary violations, misunderstood product behavior, and overclaimed evidence. They may share one attributable automated test bundle, but must challenge its adequacy and request additional execution when necessary. Independence does not require duplicate heavy test runs.</w:t>
      </w:r>
    </w:p>
    <w:p>
      <w:pPr>
        <w:spacing w:line="360" w:after="210" w:lineRule="auto"/>
      </w:pPr>
      <w:r>
        <w:rPr>
          <w:rFonts w:eastAsia="source serif 4" w:cs="source serif 4" w:ascii="source serif 4" w:hAnsi="source serif 4"/>
          <w:color w:val="000000"/>
        </w:rPr>
        <w:t xml:space="preserve">Fixes receive risk-scoped follow-up and explicit finding closure. Unrelated prose changes do not restart product audits. Material changes invalidate affected conclusions; Tier 4 still requires both independent final-head attestations. Do not satisfy dual review by copying another auditor's verdict.</w:t>
      </w:r>
    </w:p>
    <w:p>
      <w:pPr>
        <w:spacing w:line="360" w:before="315" w:after="105" w:lineRule="auto"/>
        <w:ind w:left="-30"/>
        <w:jc w:val="left"/>
      </w:pPr>
      <w:bookmarkStart w:id="13" w:name="g11_block_on_consequence_not_cosm_b86214"/>
      <w:r>
        <w:rPr>
          <w:rFonts w:eastAsia="source serif 4" w:cs="source serif 4" w:ascii="source serif 4" w:hAnsi="source serif 4"/>
          <w:b/>
          <w:color w:val="000000"/>
          <w:sz w:val="24"/>
        </w:rPr>
        <w:t xml:space="preserve">G11: Block on consequence, not cosmetic labels</w:t>
      </w:r>
      <w:bookmarkEnd w:id="13"/>
    </w:p>
    <w:p>
      <w:pPr>
        <w:spacing w:line="360" w:after="210" w:lineRule="auto"/>
      </w:pPr>
      <w:r>
        <w:rPr>
          <w:rFonts w:eastAsia="source serif 4" w:cs="source serif 4" w:ascii="source serif 4" w:hAnsi="source serif 4"/>
          <w:color w:val="000000"/>
        </w:rPr>
        <w:t xml:space="preserve">Unresolved material correctness, security, reliability, data integrity, maintainability, or customer-quality findings block the affected merge or release. A low severity label does not waive a material defect. Unresolved architectural uncertainty at a consequential boundary is material.</w:t>
      </w:r>
    </w:p>
    <w:p>
      <w:pPr>
        <w:spacing w:line="360" w:after="210" w:lineRule="auto"/>
      </w:pPr>
      <w:r>
        <w:rPr>
          <w:rFonts w:eastAsia="source serif 4" w:cs="source serif 4" w:ascii="source serif 4" w:hAnsi="source serif 4"/>
          <w:color w:val="000000"/>
        </w:rPr>
        <w:t xml:space="preserve">Pure naming, formatting, comment preference, or internal aesthetic disagreement is normally nonblocking; fix it when cheap or during ordinary cleanup. Do not start an audit loop solely for cosmetics. Record material findings once with stable ID, consequence, affected scope, owner, and closure evidence. Inherited findings are not rediscovered and rewritten for each PR, but remain blockers wherever their risk applies.</w:t>
      </w:r>
    </w:p>
    <w:p>
      <w:pPr>
        <w:spacing w:line="360" w:after="210" w:lineRule="auto"/>
      </w:pPr>
      <w:r>
        <w:rPr>
          <w:rFonts w:eastAsia="source serif 4" w:cs="source serif 4" w:ascii="source serif 4" w:hAnsi="source serif 4"/>
          <w:color w:val="000000"/>
        </w:rPr>
        <w:t xml:space="preserve">Auditor disagreements require evidence-based disposition, not majority voting or relabeling. Any permitted residual-risk acceptance must name the authorized owner, limits, expiry, and rationale. This cannot waive unresolved material Tier 4 or release safety findings.</w:t>
      </w:r>
    </w:p>
    <w:p>
      <w:pPr>
        <w:spacing w:line="360" w:before="315" w:after="105" w:lineRule="auto"/>
        <w:ind w:left="-30"/>
        <w:jc w:val="left"/>
      </w:pPr>
      <w:bookmarkStart w:id="14" w:name="engineering_safety_and_product_integrity"/>
      <w:r>
        <w:rPr>
          <w:rFonts w:eastAsia="source serif 4" w:cs="source serif 4" w:ascii="source serif 4" w:hAnsi="source serif 4"/>
          <w:b/>
          <w:color w:val="000000"/>
          <w:sz w:val="24"/>
        </w:rPr>
        <w:t xml:space="preserve">Engineering safety and product integrity</w:t>
      </w:r>
      <w:bookmarkEnd w:id="14"/>
    </w:p>
    <w:p>
      <w:pPr>
        <w:spacing w:line="360" w:before="315" w:after="105" w:lineRule="auto"/>
        <w:ind w:left="-30"/>
        <w:jc w:val="left"/>
      </w:pPr>
      <w:bookmarkStart w:id="15" w:name="g12_protect_security_and_tenant_b_a6ce5a"/>
      <w:r>
        <w:rPr>
          <w:rFonts w:eastAsia="source serif 4" w:cs="source serif 4" w:ascii="source serif 4" w:hAnsi="source serif 4"/>
          <w:b/>
          <w:color w:val="000000"/>
          <w:sz w:val="24"/>
        </w:rPr>
        <w:t xml:space="preserve">G12: Protect security and tenant boundaries</w:t>
      </w:r>
      <w:bookmarkEnd w:id="15"/>
    </w:p>
    <w:p>
      <w:pPr>
        <w:spacing w:line="360" w:after="210" w:lineRule="auto"/>
      </w:pPr>
      <w:r>
        <w:rPr>
          <w:rFonts w:eastAsia="source serif 4" w:cs="source serif 4" w:ascii="source serif 4" w:hAnsi="source serif 4"/>
          <w:color w:val="000000"/>
        </w:rPr>
        <w:t xml:space="preserve">Enforce authentication, authorization, roles, tenant ownership, and input validation at the relevant server/data boundaries. Supabase tables use enabled RLS with explicit role/operation policies. Privileged paths must not silently bypass tenant or authorization guarantees. Test cross-tenant, denied-role, revoked-session, and unauthorized-access cases.</w:t>
      </w:r>
    </w:p>
    <w:p>
      <w:pPr>
        <w:spacing w:line="360" w:after="210" w:lineRule="auto"/>
      </w:pPr>
      <w:r>
        <w:rPr>
          <w:rFonts w:eastAsia="source serif 4" w:cs="source serif 4" w:ascii="source serif 4" w:hAnsi="source serif 4"/>
          <w:color w:val="000000"/>
        </w:rPr>
        <w:t xml:space="preserve">Use parameterized queries, safe output handling, protected credentials, appropriate cryptography, secure transport, constrained CORS, quotas, and bounded resource use. Do not expose secrets, sensitive internals, or PII in errors or logs. Rotate exposed credentials and preserve incident evidence. Maintain domain-specific security parameters in tested policy. Scanners supplement, not replace, boundary reasoning.</w:t>
      </w:r>
    </w:p>
    <w:p>
      <w:pPr>
        <w:spacing w:line="360" w:before="315" w:after="105" w:lineRule="auto"/>
        <w:ind w:left="-30"/>
        <w:jc w:val="left"/>
      </w:pPr>
      <w:bookmarkStart w:id="16" w:name="g13_preserve_data_privacy_and_fin_25be59"/>
      <w:r>
        <w:rPr>
          <w:rFonts w:eastAsia="source serif 4" w:cs="source serif 4" w:ascii="source serif 4" w:hAnsi="source serif 4"/>
          <w:b/>
          <w:color w:val="000000"/>
          <w:sz w:val="24"/>
        </w:rPr>
        <w:t xml:space="preserve">G13: Preserve data, privacy, and financial correctness</w:t>
      </w:r>
      <w:bookmarkEnd w:id="16"/>
    </w:p>
    <w:p>
      <w:pPr>
        <w:spacing w:line="360" w:after="210" w:lineRule="auto"/>
      </w:pPr>
      <w:r>
        <w:rPr>
          <w:rFonts w:eastAsia="source serif 4" w:cs="source serif 4" w:ascii="source serif 4" w:hAnsi="source serif 4"/>
          <w:color w:val="000000"/>
        </w:rPr>
        <w:t xml:space="preserve">Use database constraints, atomic writes, concurrency controls, and replay/idempotency protection appropriate to the operation. Money uses integer minor units or suitable decimal arithmetic. Model instants, civil dates, time zones, retention, deletion, and audit evidence deliberately; blanket soft deletion or indiscriminate before/after PII logging is not a privacy policy.</w:t>
      </w:r>
    </w:p>
    <w:p>
      <w:pPr>
        <w:spacing w:line="360" w:after="210" w:lineRule="auto"/>
      </w:pPr>
      <w:r>
        <w:rPr>
          <w:rFonts w:eastAsia="source serif 4" w:cs="source serif 4" w:ascii="source serif 4" w:hAnsi="source serif 4"/>
          <w:color w:val="000000"/>
        </w:rPr>
        <w:t xml:space="preserve">Migrations must preserve supported readers/writers and prove safe rollout against representative populated data. Prove rollback where possible; where it is unsafe or irreversible, require explicit authorization, recovery/forward-repair proof, and a bounded rollout. Never claim that a down migration restores lost data. Maintain verified backups and restore capability for the applicable recovery objectives.</w:t>
      </w:r>
    </w:p>
    <w:p>
      <w:pPr>
        <w:spacing w:line="360" w:before="315" w:after="105" w:lineRule="auto"/>
        <w:ind w:left="-30"/>
        <w:jc w:val="left"/>
      </w:pPr>
      <w:bookmarkStart w:id="17" w:name="g14_keep_contracts_and_dependenci_cb44bf"/>
      <w:r>
        <w:rPr>
          <w:rFonts w:eastAsia="source serif 4" w:cs="source serif 4" w:ascii="source serif 4" w:hAnsi="source serif 4"/>
          <w:b/>
          <w:color w:val="000000"/>
          <w:sz w:val="24"/>
        </w:rPr>
        <w:t xml:space="preserve">G14: Keep contracts and dependencies coherent</w:t>
      </w:r>
      <w:bookmarkEnd w:id="17"/>
    </w:p>
    <w:p>
      <w:pPr>
        <w:spacing w:line="360" w:after="210" w:lineRule="auto"/>
      </w:pPr>
      <w:r>
        <w:rPr>
          <w:rFonts w:eastAsia="source serif 4" w:cs="source serif 4" w:ascii="source serif 4" w:hAnsi="source serif 4"/>
          <w:color w:val="000000"/>
        </w:rPr>
        <w:t xml:space="preserve">Maintain authoritative schemas and generated contracts, compatibility tests, versioning appropriate to consumers, and validated event/configuration registries. Update dependent artifacts together. Breaking changes require an explicit compatibility and migration plan; do not freeze a contract by assertion.</w:t>
      </w:r>
    </w:p>
    <w:p>
      <w:pPr>
        <w:spacing w:line="360" w:after="210" w:lineRule="auto"/>
      </w:pPr>
      <w:r>
        <w:rPr>
          <w:rFonts w:eastAsia="source serif 4" w:cs="source serif 4" w:ascii="source serif 4" w:hAnsi="source serif 4"/>
          <w:color w:val="000000"/>
        </w:rPr>
        <w:t xml:space="preserve">Respect the dependency graph across branches, repositories, and releases. Recover source before claiming it exists; recover validation separately. Select maintained dependencies for actual need, lock and verify the resolved graph, and remediate vulnerabilities under explicit security policy. Validate uncertain versions and APIs before dispatch.</w:t>
      </w:r>
    </w:p>
    <w:p>
      <w:pPr>
        <w:spacing w:line="360" w:before="315" w:after="105" w:lineRule="auto"/>
        <w:ind w:left="-30"/>
        <w:jc w:val="left"/>
      </w:pPr>
      <w:bookmarkStart w:id="18" w:name="g15_engineer_reliable_runtime_behavior"/>
      <w:r>
        <w:rPr>
          <w:rFonts w:eastAsia="source serif 4" w:cs="source serif 4" w:ascii="source serif 4" w:hAnsi="source serif 4"/>
          <w:b/>
          <w:color w:val="000000"/>
          <w:sz w:val="24"/>
        </w:rPr>
        <w:t xml:space="preserve">G15: Engineer reliable runtime behavior</w:t>
      </w:r>
      <w:bookmarkEnd w:id="18"/>
    </w:p>
    <w:p>
      <w:pPr>
        <w:spacing w:line="360" w:after="210" w:lineRule="auto"/>
      </w:pPr>
      <w:r>
        <w:rPr>
          <w:rFonts w:eastAsia="source serif 4" w:cs="source serif 4" w:ascii="source serif 4" w:hAnsi="source serif 4"/>
          <w:color w:val="000000"/>
        </w:rPr>
        <w:t xml:space="preserve">Bound external calls, retries, list sizes, and resource consumption. Avoid unbounded queries, blocking work, unsafe concurrency, leaked subscriptions, and unrecoverable optimistic updates. Use observability, health/readiness signals, and performance budgets appropriate to actual service risks.</w:t>
      </w:r>
    </w:p>
    <w:p>
      <w:pPr>
        <w:spacing w:line="360" w:after="210" w:lineRule="auto"/>
      </w:pPr>
      <w:r>
        <w:rPr>
          <w:rFonts w:eastAsia="source serif 4" w:cs="source serif 4" w:ascii="source serif 4" w:hAnsi="source serif 4"/>
          <w:color w:val="000000"/>
        </w:rPr>
        <w:t xml:space="preserve">Critical failures must be visible and actionable. Noncritical failures may degrade gracefully without corrupting state or pretending success. Redact diagnostics and preserve useful correlation. Restore breached reliability objectives with priority proportional to customer impact; do not declare every missed metric a company-wide P0.</w:t>
      </w:r>
    </w:p>
    <w:p>
      <w:pPr>
        <w:spacing w:line="360" w:before="315" w:after="105" w:lineRule="auto"/>
        <w:ind w:left="-30"/>
        <w:jc w:val="left"/>
      </w:pPr>
      <w:bookmarkStart w:id="19" w:name="g16_ship_a_trustworthy_production_a9e72e"/>
      <w:r>
        <w:rPr>
          <w:rFonts w:eastAsia="source serif 4" w:cs="source serif 4" w:ascii="source serif 4" w:hAnsi="source serif 4"/>
          <w:b/>
          <w:color w:val="000000"/>
          <w:sz w:val="24"/>
        </w:rPr>
        <w:t xml:space="preserve">G16: Ship a trustworthy production artifact</w:t>
      </w:r>
      <w:bookmarkEnd w:id="19"/>
    </w:p>
    <w:p>
      <w:pPr>
        <w:spacing w:line="360" w:after="210" w:lineRule="auto"/>
      </w:pPr>
      <w:r>
        <w:rPr>
          <w:rFonts w:eastAsia="source serif 4" w:cs="source serif 4" w:ascii="source serif 4" w:hAnsi="source serif 4"/>
          <w:color w:val="000000"/>
        </w:rPr>
        <w:t xml:space="preserve">Build reproducibly from identified inputs. Exclude development-only code, tooling, tests, and unintended dependencies from production artifacts. Apply relevant secret, dependency, static, infrastructure, and artifact checks; maintain release dependency inventory/SBOM and traceable build identity.</w:t>
      </w:r>
    </w:p>
    <w:p>
      <w:pPr>
        <w:spacing w:line="360" w:after="210" w:lineRule="auto"/>
      </w:pPr>
      <w:r>
        <w:rPr>
          <w:rFonts w:eastAsia="source serif 4" w:cs="source serif 4" w:ascii="source serif 4" w:hAnsi="source serif 4"/>
          <w:color w:val="000000"/>
        </w:rPr>
        <w:t xml:space="preserve">Deployment configuration must be validated against the actual environment without disclosing secrets. Missing security, product, or feature switches must not silently activate functionality. A readiness summary must report specific checks and unknowns, never assert universal safety.</w:t>
      </w:r>
    </w:p>
    <w:p>
      <w:pPr>
        <w:spacing w:line="360" w:before="315" w:after="105" w:lineRule="auto"/>
        <w:ind w:left="-30"/>
        <w:jc w:val="left"/>
      </w:pPr>
      <w:bookmarkStart w:id="20" w:name="merge_release_and_operating_state"/>
      <w:r>
        <w:rPr>
          <w:rFonts w:eastAsia="source serif 4" w:cs="source serif 4" w:ascii="source serif 4" w:hAnsi="source serif 4"/>
          <w:b/>
          <w:color w:val="000000"/>
          <w:sz w:val="24"/>
        </w:rPr>
        <w:t xml:space="preserve">Merge, release, and operating state</w:t>
      </w:r>
      <w:bookmarkEnd w:id="20"/>
    </w:p>
    <w:p>
      <w:pPr>
        <w:spacing w:line="360" w:before="315" w:after="105" w:lineRule="auto"/>
        <w:ind w:left="-30"/>
        <w:jc w:val="left"/>
      </w:pPr>
      <w:bookmarkStart w:id="21" w:name="g17_merge_and_deploy_through_enfo_6169ad"/>
      <w:r>
        <w:rPr>
          <w:rFonts w:eastAsia="source serif 4" w:cs="source serif 4" w:ascii="source serif 4" w:hAnsi="source serif 4"/>
          <w:b/>
          <w:color w:val="000000"/>
          <w:sz w:val="24"/>
        </w:rPr>
        <w:t xml:space="preserve">G17: Merge and deploy through enforced paths</w:t>
      </w:r>
      <w:bookmarkEnd w:id="21"/>
    </w:p>
    <w:p>
      <w:pPr>
        <w:spacing w:line="360" w:after="210" w:lineRule="auto"/>
      </w:pPr>
      <w:r>
        <w:rPr>
          <w:rFonts w:eastAsia="source serif 4" w:cs="source serif 4" w:ascii="source serif 4" w:hAnsi="source serif 4"/>
          <w:color w:val="000000"/>
        </w:rPr>
        <w:t xml:space="preserve">Protect canonical branches against unreviewed or unverified writes, force pushes, and unauthorized bypass. Require the applicable checks and tier review on the candidate actually landed, with safe base/head reconciliation. Any newly constructed merge commit needs proven evidence applicability; equal source trees alone do not establish equal build or deployment inputs.</w:t>
      </w:r>
    </w:p>
    <w:p>
      <w:pPr>
        <w:spacing w:line="360" w:after="210" w:lineRule="auto"/>
      </w:pPr>
      <w:r>
        <w:rPr>
          <w:rFonts w:eastAsia="source serif 4" w:cs="source serif 4" w:ascii="source serif 4" w:hAnsi="source serif 4"/>
          <w:color w:val="000000"/>
        </w:rPr>
        <w:t xml:space="preserve">Merge is not deployment authorization. If merging automatically deploys, all applicable release requirements become merge prerequisites until those operations are safely separated. Use staged rollout, observation, and a real rollback/containment path appropriate to risk. Feature flags do not make unsafe data writes reversible.</w:t>
      </w:r>
    </w:p>
    <w:p>
      <w:pPr>
        <w:spacing w:line="360" w:before="315" w:after="105" w:lineRule="auto"/>
        <w:ind w:left="-30"/>
        <w:jc w:val="left"/>
      </w:pPr>
      <w:bookmarkStart w:id="22" w:name="g18_release_acceptance_proves_the_system"/>
      <w:r>
        <w:rPr>
          <w:rFonts w:eastAsia="source serif 4" w:cs="source serif 4" w:ascii="source serif 4" w:hAnsi="source serif 4"/>
          <w:b/>
          <w:color w:val="000000"/>
          <w:sz w:val="24"/>
        </w:rPr>
        <w:t xml:space="preserve">G18: Release acceptance proves the system</w:t>
      </w:r>
      <w:bookmarkEnd w:id="22"/>
    </w:p>
    <w:p>
      <w:pPr>
        <w:spacing w:line="360" w:after="210" w:lineRule="auto"/>
      </w:pPr>
      <w:r>
        <w:rPr>
          <w:rFonts w:eastAsia="source serif 4" w:cs="source serif 4" w:ascii="source serif 4" w:hAnsi="source serif 4"/>
          <w:color w:val="000000"/>
        </w:rPr>
        <w:t xml:space="preserve">Identify the exact integrated candidate across repositories, artifacts, contracts, configuration, and migrations. Reconcile compatibility, material findings, and supported old/new behavior. Run integrated tests and product acceptance against the actual release scope, including failure/recovery paths and representative customer journeys.</w:t>
      </w:r>
    </w:p>
    <w:p>
      <w:pPr>
        <w:spacing w:line="360" w:after="210" w:lineRule="auto"/>
      </w:pPr>
      <w:r>
        <w:rPr>
          <w:rFonts w:eastAsia="source serif 4" w:cs="source serif 4" w:ascii="source serif 4" w:hAnsi="source serif 4"/>
          <w:color w:val="000000"/>
        </w:rPr>
        <w:t xml:space="preserve">Require security/reliability review, adversarial review, and customer-experience quality review. Retain Tier 4 dual independent assurance for critical boundaries in the release. Distinct review questions may share an appropriate reviewer or valid prior evidence, but required independence cannot be collapsed.</w:t>
      </w:r>
    </w:p>
    <w:p>
      <w:pPr>
        <w:spacing w:line="360" w:after="210" w:lineRule="auto"/>
      </w:pPr>
      <w:r>
        <w:rPr>
          <w:rFonts w:eastAsia="source serif 4" w:cs="source serif 4" w:ascii="source serif 4" w:hAnsi="source serif 4"/>
          <w:color w:val="000000"/>
        </w:rPr>
        <w:t xml:space="preserve">Use the approved product plan's measurable acceptance criteria. Do not substitute mocks, empty runs, unsupported platforms, partial results, or a plan-level verdict for real-system proof. No unresolved material release findings, and no broader readiness claim than the evidence supports.</w:t>
      </w:r>
    </w:p>
    <w:p>
      <w:pPr>
        <w:spacing w:line="360" w:before="315" w:after="105" w:lineRule="auto"/>
        <w:ind w:left="-30"/>
        <w:jc w:val="left"/>
      </w:pPr>
      <w:bookmarkStart w:id="23" w:name="g19_keep_one_small_attributable_c_e78504"/>
      <w:r>
        <w:rPr>
          <w:rFonts w:eastAsia="source serif 4" w:cs="source serif 4" w:ascii="source serif 4" w:hAnsi="source serif 4"/>
          <w:b/>
          <w:color w:val="000000"/>
          <w:sz w:val="24"/>
        </w:rPr>
        <w:t xml:space="preserve">G19: Keep one small, attributable current-state view</w:t>
      </w:r>
      <w:bookmarkEnd w:id="23"/>
    </w:p>
    <w:p>
      <w:pPr>
        <w:spacing w:line="360" w:after="210" w:lineRule="auto"/>
      </w:pPr>
      <w:r>
        <w:rPr>
          <w:rFonts w:eastAsia="source serif 4" w:cs="source serif 4" w:ascii="source serif 4" w:hAnsi="source serif 4"/>
          <w:color w:val="000000"/>
        </w:rPr>
        <w:t xml:space="preserve">Query GitHub and build systems for facts they own. Keep only state they do not own in a minimal versioned registry: scope, owner, tier, dependencies, acceptance references, material finding IDs, and review/evidence references. Every generated snapshot has observation time and provenance. Stale, conflicting, or unavailable facts remain explicit.</w:t>
      </w:r>
    </w:p>
    <w:p>
      <w:pPr>
        <w:spacing w:line="360" w:after="210" w:lineRule="auto"/>
      </w:pPr>
      <w:r>
        <w:rPr>
          <w:rFonts w:eastAsia="source serif 4" w:cs="source serif 4" w:ascii="source serif 4" w:hAnsi="source serif 4"/>
          <w:color w:val="000000"/>
        </w:rPr>
        <w:t xml:space="preserve">Preserve history in Git and immutable evidence, not by appending every superseded sentence to the live operating view. Read the current summary and fetch deeper evidence on demand. Never treat a file named </w:t>
      </w:r>
      <w:r>
        <w:rPr>
          <w:rStyle w:val="VerbatimChar"/>
          <w:rFonts w:eastAsia="menlo" w:cs="menlo" w:ascii="menlo" w:hAnsi="menlo"/>
          <w:color w:val="000000"/>
          <w:sz w:val="18"/>
          <w:shd w:val="clear" w:color="auto" w:fill="F8F8FA"/>
        </w:rPr>
        <w:t xml:space="preserve">current-state</w:t>
      </w:r>
      <w:r>
        <w:rPr>
          <w:rFonts w:eastAsia="source serif 4" w:cs="source serif 4" w:ascii="source serif 4" w:hAnsi="source serif 4"/>
          <w:color w:val="000000"/>
        </w:rPr>
        <w:t xml:space="preserve"> as authoritative merely because it is JSON.</w:t>
      </w:r>
    </w:p>
    <w:p>
      <w:pPr>
        <w:spacing w:line="360" w:before="315" w:after="105" w:lineRule="auto"/>
        <w:ind w:left="-30"/>
        <w:jc w:val="left"/>
      </w:pPr>
      <w:bookmarkStart w:id="24" w:name="g20_escalate_uncertainty_without_36ae80"/>
      <w:r>
        <w:rPr>
          <w:rFonts w:eastAsia="source serif 4" w:cs="source serif 4" w:ascii="source serif 4" w:hAnsi="source serif 4"/>
          <w:b/>
          <w:color w:val="000000"/>
          <w:sz w:val="24"/>
        </w:rPr>
        <w:t xml:space="preserve">G20: Escalate uncertainty without stopping unrelated work</w:t>
      </w:r>
      <w:bookmarkEnd w:id="24"/>
    </w:p>
    <w:p>
      <w:pPr>
        <w:spacing w:line="360" w:after="210" w:lineRule="auto"/>
      </w:pPr>
      <w:r>
        <w:rPr>
          <w:rFonts w:eastAsia="source serif 4" w:cs="source serif 4" w:ascii="source serif 4" w:hAnsi="source serif 4"/>
          <w:color w:val="000000"/>
        </w:rPr>
        <w:t xml:space="preserve">Pause the affected boundary for ambiguous ownership, missing prerequisite, material review disagreement, unbounded blast radius, compromised evidence, or unavailable required controls. Identify the smallest safe next action and obtain the needed decision or evidence.</w:t>
      </w:r>
    </w:p>
    <w:p>
      <w:pPr>
        <w:spacing w:line="360" w:after="210" w:lineRule="auto"/>
      </w:pPr>
      <w:r>
        <w:rPr>
          <w:rFonts w:eastAsia="source serif 4" w:cs="source serif 4" w:ascii="source serif 4" w:hAnsi="source serif 4"/>
          <w:color w:val="000000"/>
        </w:rPr>
        <w:t xml:space="preserve">Separate findings from incomplete review and infrastructure failure. Preserve work before recovery or cancellation. Monitor active work for useful progress, not ritual updates; investigate stale ownership in relevant lanes rather than sweeping every repository on every task.</w:t>
      </w:r>
    </w:p>
    <w:p>
      <w:pPr>
        <w:spacing w:line="360" w:before="315" w:after="105" w:lineRule="auto"/>
        <w:ind w:left="-30"/>
        <w:jc w:val="left"/>
      </w:pPr>
      <w:bookmarkStart w:id="25" w:name="keeping_the_system_small"/>
      <w:r>
        <w:rPr>
          <w:rFonts w:eastAsia="source serif 4" w:cs="source serif 4" w:ascii="source serif 4" w:hAnsi="source serif 4"/>
          <w:b/>
          <w:color w:val="000000"/>
          <w:sz w:val="24"/>
        </w:rPr>
        <w:t xml:space="preserve">Keeping the system small</w:t>
      </w:r>
      <w:bookmarkEnd w:id="25"/>
    </w:p>
    <w:p>
      <w:pPr>
        <w:spacing w:line="360" w:before="315" w:after="105" w:lineRule="auto"/>
        <w:ind w:left="-30"/>
        <w:jc w:val="left"/>
      </w:pPr>
      <w:bookmarkStart w:id="26" w:name="g21_prefer_the_simplest_adequate_4c5e8f"/>
      <w:r>
        <w:rPr>
          <w:rFonts w:eastAsia="source serif 4" w:cs="source serif 4" w:ascii="source serif 4" w:hAnsi="source serif 4"/>
          <w:b/>
          <w:color w:val="000000"/>
          <w:sz w:val="24"/>
        </w:rPr>
        <w:t xml:space="preserve">G21: Prefer the simplest adequate implementation</w:t>
      </w:r>
      <w:bookmarkEnd w:id="26"/>
    </w:p>
    <w:p>
      <w:pPr>
        <w:spacing w:line="360" w:after="210" w:lineRule="auto"/>
      </w:pPr>
      <w:r>
        <w:rPr>
          <w:rFonts w:eastAsia="source serif 4" w:cs="source serif 4" w:ascii="source serif 4" w:hAnsi="source serif 4"/>
          <w:color w:val="000000"/>
        </w:rPr>
        <w:t xml:space="preserve">Question the need, delete unnecessary work, simplify, then accelerate and automate what remains. Favor clear ownership, existing suitable primitives, and cohesive code. Introduce abstractions, caching, dependencies, and process only for a demonstrated problem.</w:t>
      </w:r>
    </w:p>
    <w:p>
      <w:pPr>
        <w:spacing w:line="360" w:after="210" w:lineRule="auto"/>
      </w:pPr>
      <w:r>
        <w:rPr>
          <w:rFonts w:eastAsia="source serif 4" w:cs="source serif 4" w:ascii="source serif 4" w:hAnsi="source serif 4"/>
          <w:color w:val="000000"/>
        </w:rPr>
        <w:t xml:space="preserve">Use measured limits and context, not universal line counts, comment ratios, mandatory library reuse, or aesthetic doctrine. Address a bug's relevant repeated causes without turning a bounded change into unlimited refactoring. Customer quality and maintainability still matter.</w:t>
      </w:r>
    </w:p>
    <w:p>
      <w:pPr>
        <w:spacing w:line="360" w:before="315" w:after="105" w:lineRule="auto"/>
        <w:ind w:left="-30"/>
        <w:jc w:val="left"/>
      </w:pPr>
      <w:bookmarkStart w:id="27" w:name="g22_make_governance_earn_its_cost"/>
      <w:r>
        <w:rPr>
          <w:rFonts w:eastAsia="source serif 4" w:cs="source serif 4" w:ascii="source serif 4" w:hAnsi="source serif 4"/>
          <w:b/>
          <w:color w:val="000000"/>
          <w:sz w:val="24"/>
        </w:rPr>
        <w:t xml:space="preserve">G22: Make governance earn its cost</w:t>
      </w:r>
      <w:bookmarkEnd w:id="27"/>
    </w:p>
    <w:p>
      <w:pPr>
        <w:spacing w:line="360" w:after="210" w:lineRule="auto"/>
      </w:pPr>
      <w:r>
        <w:rPr>
          <w:rFonts w:eastAsia="source serif 4" w:cs="source serif 4" w:ascii="source serif 4" w:hAnsi="source serif 4"/>
          <w:color w:val="000000"/>
        </w:rPr>
        <w:t xml:space="preserve">A new permanent rule needs a concrete hazard, an owner, and the least costly effective enforcement. Prefer a short invariant plus a tested control; do not require prose, CI, and an auditor to duplicate every rule.</w:t>
      </w:r>
    </w:p>
    <w:p>
      <w:pPr>
        <w:spacing w:line="360" w:after="210" w:lineRule="auto"/>
      </w:pPr>
      <w:r>
        <w:rPr>
          <w:rFonts w:eastAsia="source serif 4" w:cs="source serif 4" w:ascii="source serif 4" w:hAnsi="source serif 4"/>
          <w:color w:val="000000"/>
        </w:rPr>
        <w:t xml:space="preserve">Measure cycle time, review effort, rework, escaped defects, incidents, recovery, and customer acceptance. Remove or revise controls that do not improve outcomes. Retain manual protection only where the replacement is absent or unproven, scoped to that gap. Simplification succeeds when delivery improves without worsening real safety, not when word count alone falls.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2026-09-18T16:35:09.489Z</dcterms:created>
  <dcterms:modified xsi:type="dcterms:W3CDTF">2026-09-18T16:35:09.489Z</dcterms:modified>
</cp:coreProperties>
</file>