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gp_governance_refactor"/>
      <w:r>
        <w:rPr>
          <w:rFonts w:eastAsia="source serif 4" w:cs="source serif 4" w:ascii="source serif 4" w:hAnsi="source serif 4"/>
          <w:b/>
          <w:color w:val="000000"/>
          <w:sz w:val="39"/>
        </w:rPr>
        <w:t xml:space="preserve">TGP Governance Refactor</w:t>
      </w:r>
      <w:bookmarkEnd w:id="0"/>
    </w:p>
    <w:p>
      <w:pPr>
        <w:spacing w:line="360" w:after="210" w:lineRule="auto"/>
      </w:pPr>
      <w:r>
        <w:rPr>
          <w:rFonts w:eastAsia="source serif 4" w:cs="source serif 4" w:ascii="source serif 4" w:hAnsi="source serif 4"/>
          <w:color w:val="000000"/>
        </w:rPr>
        <w:t xml:space="preserve">Proposal for operator decision | Evidence observed September 18, 2026 | Canonical file not changed</w:t>
      </w:r>
    </w:p>
    <w:p>
      <w:pPr>
        <w:spacing w:line="360" w:before="315" w:after="105" w:lineRule="auto"/>
        <w:ind w:left="-30"/>
        <w:jc w:val="left"/>
      </w:pPr>
      <w:bookmarkStart w:id="1" w:name="recommendation"/>
      <w:r>
        <w:rPr>
          <w:rFonts w:eastAsia="source serif 4" w:cs="source serif 4" w:ascii="source serif 4" w:hAnsi="source serif 4"/>
          <w:b/>
          <w:color w:val="000000"/>
          <w:sz w:val="24"/>
        </w:rPr>
        <w:t xml:space="preserve">Recommendation</w:t>
      </w:r>
      <w:bookmarkEnd w:id="1"/>
    </w:p>
    <w:p>
      <w:pPr>
        <w:spacing w:line="360" w:after="210" w:lineRule="auto"/>
      </w:pPr>
      <w:r>
        <w:rPr>
          <w:rFonts w:eastAsia="source serif 4" w:cs="source serif 4" w:ascii="source serif 4" w:hAnsi="source serif 4"/>
          <w:color w:val="000000"/>
        </w:rPr>
        <w:t xml:space="preserve">Replace the accumulated doctrine with </w:t>
      </w:r>
      <w:r>
        <w:rPr>
          <w:rFonts w:eastAsia="source serif 4" w:cs="source serif 4" w:ascii="source serif 4" w:hAnsi="source serif 4"/>
          <w:b/>
          <w:color w:val="000000"/>
        </w:rPr>
        <w:t xml:space="preserve">22 stable invariants, risk-tiered review, trusted automated gates, and release acceptance that proves the integrated product</w:t>
      </w:r>
      <w:r>
        <w:rPr>
          <w:rFonts w:eastAsia="source serif 4" w:cs="source serif 4" w:ascii="source serif 4" w:hAnsi="source serif 4"/>
          <w:color w:val="000000"/>
        </w:rPr>
        <w:t xml:space="preserve">. Delete repeated certification prose, universal dual audits, cosmetic closure loops, arbitrary code-volume proxies, and ritual state reconstruction. Do not remove a manual protection merely because a replacement workflow exists; first prove that the replacement runs, fails correctly, and actually blocks the unsafe action.</w:t>
      </w:r>
    </w:p>
    <w:p>
      <w:pPr>
        <w:spacing w:line="360" w:after="210" w:lineRule="auto"/>
      </w:pPr>
      <w:r>
        <w:rPr>
          <w:rFonts w:eastAsia="source serif 4" w:cs="source serif 4" w:ascii="source serif 4" w:hAnsi="source serif 4"/>
          <w:color w:val="000000"/>
        </w:rPr>
        <w:t xml:space="preserve">The most important improvement is not “fewer audits.” It is </w:t>
      </w:r>
      <w:r>
        <w:rPr>
          <w:rFonts w:eastAsia="source serif 4" w:cs="source serif 4" w:ascii="source serif 4" w:hAnsi="source serif 4"/>
          <w:b/>
          <w:color w:val="000000"/>
        </w:rPr>
        <w:t xml:space="preserve">a smaller trusted path from change to evidence to authorization</w:t>
      </w:r>
      <w:r>
        <w:rPr>
          <w:rFonts w:eastAsia="source serif 4" w:cs="source serif 4" w:ascii="source serif 4" w:hAnsi="source serif 4"/>
          <w:color w:val="000000"/>
        </w:rPr>
        <w:t xml:space="preserve">, with separate answers to “may this merge?” and “may this deploy?” Low-risk work should use that path quickly. Critical-boundary work should receive at least the present level of substantive scrutiny, without repeatedly reconstructing facts already established.</w:t>
      </w:r>
    </w:p>
    <w:p>
      <w:pPr>
        <w:spacing w:line="360" w:after="210" w:lineRule="auto"/>
      </w:pPr>
      <w:r>
        <w:rPr>
          <w:rFonts w:eastAsia="source serif 4" w:cs="source serif 4" w:ascii="source serif 4" w:hAnsi="source serif 4"/>
          <w:color w:val="000000"/>
        </w:rPr>
        <w:t xml:space="preserve">This is a proposed policy and implementation plan, not proof that the new system is safe in production. No canonical files, GitHub settings, branches, PRs, deployments, customer data, or product flags were changed, and I did not rerun product test suites. The proposal itself has not received an independent audit.</w:t>
      </w:r>
    </w:p>
    <w:p>
      <w:pPr>
        <w:spacing w:line="360" w:before="315" w:after="105" w:lineRule="auto"/>
        <w:ind w:left="-30"/>
        <w:jc w:val="left"/>
      </w:pPr>
      <w:bookmarkStart w:id="2" w:name="deliverables_and_coverage"/>
      <w:r>
        <w:rPr>
          <w:rFonts w:eastAsia="source serif 4" w:cs="source serif 4" w:ascii="source serif 4" w:hAnsi="source serif 4"/>
          <w:b/>
          <w:color w:val="000000"/>
          <w:sz w:val="24"/>
        </w:rPr>
        <w:t xml:space="preserve">Deliverables and coverage</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Requested output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Where to find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Current-rule inventory</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tgp-rule-disposition.pplx.md</w:t>
            </w:r>
            <w:r>
              <w:rPr>
                <w:rFonts w:eastAsia="source sans 3" w:cs="source sans 3" w:ascii="source sans 3" w:hAnsi="source sans 3"/>
                <w:color w:val="000000"/>
                <w:sz w:val="17"/>
              </w:rPr>
              <w:t xml:space="preserve">, every numbered rule and unnumbered doctrine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KEEP / MERGE / AUTOMATE / DELETE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Disposition sections below and individual annex rows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Operator decisions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“Decisions requiring the operator”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Risk-tier framework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“Risk-tier framework” and draft G06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constitution structure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“Proposed constitution”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OLD RULE → destination mapping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Complete disposition annex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Simplification risks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“Risks and safeguards”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Controls required before removing protections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“Automation and transition gates”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Estimated work reduction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“Expected throughput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Simplified draft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AGENT_RULES.draft.md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More nuanced ideal state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better ideal state”</w:t>
            </w:r>
          </w:p>
        </w:tc>
      </w:tr>
    </w:tbl>
    <w:p>
      <w:pPr>
        <w:spacing w:lineRule="auto"/>
      </w:pPr>
    </w:p>
    <w:p>
      <w:pPr>
        <w:spacing w:line="360" w:before="315" w:after="105" w:lineRule="auto"/>
        <w:ind w:left="-30"/>
        <w:jc w:val="left"/>
      </w:pPr>
      <w:bookmarkStart w:id="3" w:name="what_i_reviewed_and_what_is_autho_e836d1"/>
      <w:r>
        <w:rPr>
          <w:rFonts w:eastAsia="source serif 4" w:cs="source serif 4" w:ascii="source serif 4" w:hAnsi="source serif 4"/>
          <w:b/>
          <w:color w:val="000000"/>
          <w:sz w:val="24"/>
        </w:rPr>
        <w:t xml:space="preserve">What I reviewed and what is authoritative</w:t>
      </w:r>
      <w:bookmarkEnd w:id="3"/>
    </w:p>
    <w:p>
      <w:pPr>
        <w:spacing w:line="360" w:after="210" w:lineRule="auto"/>
      </w:pPr>
      <w:r>
        <w:rPr>
          <w:rFonts w:eastAsia="source serif 4" w:cs="source serif 4" w:ascii="source serif 4" w:hAnsi="source serif 4"/>
          <w:color w:val="000000"/>
        </w:rPr>
        <w:t xml:space="preserve">The uploaded attachment is an earlier, smaller version: 1,464 lines and 19,110 whitespace-delimited words. I used the live canonical file on context main, read its complete 2,020 lines before drafting, and inventoried </w:t>
      </w:r>
      <w:r>
        <w:rPr>
          <w:rFonts w:eastAsia="source serif 4" w:cs="source serif 4" w:ascii="source serif 4" w:hAnsi="source serif 4"/>
          <w:b/>
          <w:color w:val="000000"/>
        </w:rPr>
        <w:t xml:space="preserve">25,277 words and 135 numbered rules: R1–R126 and R130–R138</w:t>
      </w:r>
      <w:r>
        <w:rPr>
          <w:rFonts w:eastAsia="source serif 4" w:cs="source serif 4" w:ascii="source serif 4" w:hAnsi="source serif 4"/>
          <w:color w:val="000000"/>
        </w:rPr>
        <w:t xml:space="preserve">, plus appendices, infrastructure doctrine, and the operator constitution addendum; R127–R129 are not present and must not be invented (</w:t>
      </w:r>
      <w:hyperlink r:id="rId5">
        <w:r>
          <w:rPr>
            <w:rFonts w:eastAsia="source sans 3" w:cs="source sans 3" w:ascii="source sans 3" w:hAnsi="source sans 3"/>
            <w:color w:val="#000"/>
            <w:u w:val="single"/>
          </w:rPr>
          <w:t xml:space="preserve">canonical source at </w:t>
        </w:r>
        <w:r>
          <w:rPr>
            <w:rStyle w:val="VerbatimChar"/>
            <w:rFonts w:eastAsia="source sans 3" w:cs="source sans 3" w:ascii="source sans 3" w:hAnsi="source sans 3"/>
            <w:color w:val="#000"/>
            <w:u w:val="single"/>
            <w:shd w:val="clear" w:color="auto" w:fill="F8F8FA"/>
          </w:rPr>
          <w:t xml:space="preserve">2ead9b0</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 canonical baseline is context commit </w:t>
      </w:r>
      <w:r>
        <w:rPr>
          <w:rStyle w:val="VerbatimChar"/>
          <w:rFonts w:eastAsia="menlo" w:cs="menlo" w:ascii="menlo" w:hAnsi="menlo"/>
          <w:color w:val="000000"/>
          <w:sz w:val="18"/>
          <w:shd w:val="clear" w:color="auto" w:fill="F8F8FA"/>
        </w:rPr>
        <w:t xml:space="preserve">2ead9b05e967713201c03619b564a3db4cadea35</w:t>
      </w:r>
      <w:r>
        <w:rPr>
          <w:rFonts w:eastAsia="source serif 4" w:cs="source serif 4" w:ascii="source serif 4" w:hAnsi="source serif 4"/>
          <w:color w:val="000000"/>
        </w:rPr>
        <w:t xml:space="preserve">; the newer execution evidence is on the still-open PR33 at </w:t>
      </w:r>
      <w:r>
        <w:rPr>
          <w:rStyle w:val="VerbatimChar"/>
          <w:rFonts w:eastAsia="menlo" w:cs="menlo" w:ascii="menlo" w:hAnsi="menlo"/>
          <w:color w:val="000000"/>
          <w:sz w:val="18"/>
          <w:shd w:val="clear" w:color="auto" w:fill="F8F8FA"/>
        </w:rPr>
        <w:t xml:space="preserve">54749b99427b91f4dd0c0026893bd6333a70d7d0</w:t>
      </w:r>
      <w:r>
        <w:rPr>
          <w:rFonts w:eastAsia="source serif 4" w:cs="source serif 4" w:ascii="source serif 4" w:hAnsi="source serif 4"/>
          <w:color w:val="000000"/>
        </w:rPr>
        <w:t xml:space="preserve">, which is evidence to consider, not a merged replacement for the constitution (</w:t>
      </w:r>
      <w:hyperlink r:id="rId6">
        <w:r>
          <w:rPr>
            <w:rFonts w:eastAsia="source sans 3" w:cs="source sans 3" w:ascii="source sans 3" w:hAnsi="source sans 3"/>
            <w:color w:val="#000"/>
            <w:u w:val="single"/>
          </w:rPr>
          <w:t xml:space="preserve">canonical repository</w:t>
        </w:r>
      </w:hyperlink>
      <w:r>
        <w:rPr>
          <w:rFonts w:eastAsia="source serif 4" w:cs="source serif 4" w:ascii="source serif 4" w:hAnsi="source serif 4"/>
          <w:color w:val="000000"/>
        </w:rPr>
        <w:t xml:space="preserve">, </w:t>
      </w:r>
      <w:hyperlink r:id="rId7">
        <w:r>
          <w:rPr>
            <w:rFonts w:eastAsia="source sans 3" w:cs="source sans 3" w:ascii="source sans 3" w:hAnsi="source sans 3"/>
            <w:color w:val="#000"/>
            <w:u w:val="single"/>
          </w:rPr>
          <w:t xml:space="preserve">execution PR33</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 review covered the current Op81 continuation plan, its audit/publication record and finding-disposition material, the newer execution checkpoint, recovery manifest, public PR524 Lens A audit, prior Op75 pre-build review, importer-wave state, identity merge runbook, relevant backend workflows, and live branch/PR state across context, backend, mobile, and importer; these distinguish historical intent, current source, and unmerged execution evidence (</w:t>
      </w:r>
      <w:hyperlink r:id="rId8">
        <w:r>
          <w:rPr>
            <w:rFonts w:eastAsia="source sans 3" w:cs="source sans 3" w:ascii="source sans 3" w:hAnsi="source sans 3"/>
            <w:color w:val="#000"/>
            <w:u w:val="single"/>
          </w:rPr>
          <w:t xml:space="preserve">Op81 plan</w:t>
        </w:r>
      </w:hyperlink>
      <w:r>
        <w:rPr>
          <w:rFonts w:eastAsia="source serif 4" w:cs="source serif 4" w:ascii="source serif 4" w:hAnsi="source serif 4"/>
          <w:color w:val="000000"/>
        </w:rPr>
        <w:t xml:space="preserve">, </w:t>
      </w:r>
      <w:hyperlink r:id="rId9">
        <w:r>
          <w:rPr>
            <w:rFonts w:eastAsia="source sans 3" w:cs="source sans 3" w:ascii="source sans 3" w:hAnsi="source sans 3"/>
            <w:color w:val="#000"/>
            <w:u w:val="single"/>
          </w:rPr>
          <w:t xml:space="preserve">publication record</w:t>
        </w:r>
      </w:hyperlink>
      <w:r>
        <w:rPr>
          <w:rFonts w:eastAsia="source serif 4" w:cs="source serif 4" w:ascii="source serif 4" w:hAnsi="source serif 4"/>
          <w:color w:val="000000"/>
        </w:rPr>
        <w:t xml:space="preserve">, </w:t>
      </w:r>
      <w:hyperlink r:id="rId10">
        <w:r>
          <w:rPr>
            <w:rFonts w:eastAsia="source sans 3" w:cs="source sans 3" w:ascii="source sans 3" w:hAnsi="source sans 3"/>
            <w:color w:val="#000"/>
            <w:u w:val="single"/>
          </w:rPr>
          <w:t xml:space="preserve">checkpoint</w:t>
        </w:r>
      </w:hyperlink>
      <w:r>
        <w:rPr>
          <w:rFonts w:eastAsia="source serif 4" w:cs="source serif 4" w:ascii="source serif 4" w:hAnsi="source serif 4"/>
          <w:color w:val="000000"/>
        </w:rPr>
        <w:t xml:space="preserve">, </w:t>
      </w:r>
      <w:hyperlink r:id="rId11">
        <w:r>
          <w:rPr>
            <w:rFonts w:eastAsia="source sans 3" w:cs="source sans 3" w:ascii="source sans 3" w:hAnsi="source sans 3"/>
            <w:color w:val="#000"/>
            <w:u w:val="single"/>
          </w:rPr>
          <w:t xml:space="preserve">recovery manifest</w:t>
        </w:r>
      </w:hyperlink>
      <w:r>
        <w:rPr>
          <w:rFonts w:eastAsia="source serif 4" w:cs="source serif 4" w:ascii="source serif 4" w:hAnsi="source serif 4"/>
          <w:color w:val="000000"/>
        </w:rPr>
        <w:t xml:space="preserve">, </w:t>
      </w:r>
      <w:hyperlink r:id="rId12">
        <w:r>
          <w:rPr>
            <w:rFonts w:eastAsia="source sans 3" w:cs="source sans 3" w:ascii="source sans 3" w:hAnsi="source sans 3"/>
            <w:color w:val="#000"/>
            <w:u w:val="single"/>
          </w:rPr>
          <w:t xml:space="preserve">public audit</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 latest checkpoint explicitly says both initial independent backend reviews returned findings, detailed security-review material remains private, and no product merge or deployment clearance follows from its local validation; I did not obtain those private final reports and do not claim a complete inventory or closure of their findings (</w:t>
      </w:r>
      <w:hyperlink r:id="rId13">
        <w:r>
          <w:rPr>
            <w:rFonts w:eastAsia="source sans 3" w:cs="source sans 3" w:ascii="source sans 3" w:hAnsi="source sans 3"/>
            <w:color w:val="#000"/>
            <w:u w:val="single"/>
          </w:rPr>
          <w:t xml:space="preserve">checkpoint, current section</w:t>
        </w:r>
      </w:hyperlink>
      <w:r>
        <w:rPr>
          <w:rFonts w:eastAsia="source serif 4" w:cs="source serif 4" w:ascii="source serif 4" w:hAnsi="source serif 4"/>
          <w:color w:val="000000"/>
        </w:rPr>
        <w:t xml:space="preserve">).</w:t>
      </w:r>
    </w:p>
    <w:p>
      <w:pPr>
        <w:spacing w:line="360" w:before="315" w:after="105" w:lineRule="auto"/>
        <w:ind w:left="-30"/>
        <w:jc w:val="left"/>
      </w:pPr>
      <w:bookmarkStart w:id="4" w:name="findings_that_change_the_design"/>
      <w:r>
        <w:rPr>
          <w:rFonts w:eastAsia="source serif 4" w:cs="source serif 4" w:ascii="source serif 4" w:hAnsi="source serif 4"/>
          <w:b/>
          <w:color w:val="000000"/>
          <w:sz w:val="24"/>
        </w:rPr>
        <w:t xml:space="preserve">Findings that change the design</w:t>
      </w:r>
      <w:bookmarkEnd w:id="4"/>
    </w:p>
    <w:p>
      <w:pPr>
        <w:numPr>
          <w:ilvl w:val="0"/>
          <w:numId w:val="1"/>
        </w:numPr>
        <w:spacing w:line="360" w:before="105" w:after="105" w:lineRule="auto"/>
      </w:pPr>
      <w:r>
        <w:rPr>
          <w:rFonts w:eastAsia="source serif 4" w:cs="source serif 4" w:ascii="source serif 4" w:hAnsi="source serif 4"/>
          <w:b/>
          <w:color w:val="000000"/>
          <w:sz w:val="21"/>
        </w:rPr>
        <w:t xml:space="preserve">Enforcement is not the same as doctrine:</w:t>
      </w:r>
      <w:r>
        <w:rPr>
          <w:rFonts w:eastAsia="source serif 4" w:cs="source serif 4" w:ascii="source serif 4" w:hAnsi="source serif 4"/>
          <w:color w:val="000000"/>
          <w:sz w:val="21"/>
        </w:rPr>
        <w:t xml:space="preserve"> Live main-branch checks showed backend, mobile, and context unprotected, with no repository rulesets returned; importer had classic protection with one required approval and test/CodeQL contexts, so these four repositories are not operating under one uniformly enforced regime (</w:t>
      </w:r>
      <w:hyperlink r:id="rId14">
        <w:r>
          <w:rPr>
            <w:rFonts w:eastAsia="source sans 3" w:cs="source sans 3" w:ascii="source sans 3" w:hAnsi="source sans 3"/>
            <w:color w:val="#000"/>
            <w:sz w:val="21"/>
            <w:u w:val="single"/>
          </w:rPr>
          <w:t xml:space="preserve">backend branch API</w:t>
        </w:r>
      </w:hyperlink>
      <w:r>
        <w:rPr>
          <w:rFonts w:eastAsia="source serif 4" w:cs="source serif 4" w:ascii="source serif 4" w:hAnsi="source serif 4"/>
          <w:color w:val="000000"/>
          <w:sz w:val="21"/>
        </w:rPr>
        <w:t xml:space="preserve">, </w:t>
      </w:r>
      <w:hyperlink r:id="rId15">
        <w:r>
          <w:rPr>
            <w:rFonts w:eastAsia="source sans 3" w:cs="source sans 3" w:ascii="source sans 3" w:hAnsi="source sans 3"/>
            <w:color w:val="#000"/>
            <w:sz w:val="21"/>
            <w:u w:val="single"/>
          </w:rPr>
          <w:t xml:space="preserve">mobile branch API</w:t>
        </w:r>
      </w:hyperlink>
      <w:r>
        <w:rPr>
          <w:rFonts w:eastAsia="source serif 4" w:cs="source serif 4" w:ascii="source serif 4" w:hAnsi="source serif 4"/>
          <w:color w:val="000000"/>
          <w:sz w:val="21"/>
        </w:rPr>
        <w:t xml:space="preserve">, </w:t>
      </w:r>
      <w:hyperlink r:id="rId16">
        <w:r>
          <w:rPr>
            <w:rFonts w:eastAsia="source sans 3" w:cs="source sans 3" w:ascii="source sans 3" w:hAnsi="source sans 3"/>
            <w:color w:val="#000"/>
            <w:sz w:val="21"/>
            <w:u w:val="single"/>
          </w:rPr>
          <w:t xml:space="preserve">context branch API</w:t>
        </w:r>
      </w:hyperlink>
      <w:r>
        <w:rPr>
          <w:rFonts w:eastAsia="source serif 4" w:cs="source serif 4" w:ascii="source serif 4" w:hAnsi="source serif 4"/>
          <w:color w:val="000000"/>
          <w:sz w:val="21"/>
        </w:rPr>
        <w:t xml:space="preserve">, </w:t>
      </w:r>
      <w:hyperlink r:id="rId17">
        <w:r>
          <w:rPr>
            <w:rFonts w:eastAsia="source sans 3" w:cs="source sans 3" w:ascii="source sans 3" w:hAnsi="source sans 3"/>
            <w:color w:val="#000"/>
            <w:sz w:val="21"/>
            <w:u w:val="single"/>
          </w:rPr>
          <w:t xml:space="preserve">importer protection API</w:t>
        </w:r>
      </w:hyperlink>
      <w:r>
        <w:rPr>
          <w:rFonts w:eastAsia="source serif 4" w:cs="source serif 4" w:ascii="source serif 4" w:hAnsi="source serif 4"/>
          <w:color w:val="000000"/>
          <w:sz w:val="21"/>
        </w:rPr>
        <w:t xml:space="preserve">).</w:t>
      </w:r>
    </w:p>
    <w:p>
      <w:pPr>
        <w:numPr>
          <w:ilvl w:val="0"/>
          <w:numId w:val="1"/>
        </w:numPr>
        <w:spacing w:line="360" w:before="105" w:after="105" w:lineRule="auto"/>
      </w:pPr>
      <w:r>
        <w:rPr>
          <w:rFonts w:eastAsia="source serif 4" w:cs="source serif 4" w:ascii="source serif 4" w:hAnsi="source serif 4"/>
          <w:b/>
          <w:color w:val="000000"/>
          <w:sz w:val="21"/>
        </w:rPr>
        <w:t xml:space="preserve">“CLEAN” is overloaded:</w:t>
      </w:r>
      <w:r>
        <w:rPr>
          <w:rFonts w:eastAsia="source serif 4" w:cs="source serif 4" w:ascii="source serif 4" w:hAnsi="source serif 4"/>
          <w:color w:val="000000"/>
          <w:sz w:val="21"/>
        </w:rPr>
        <w:t xml:space="preserve"> PR524 remained open at </w:t>
      </w:r>
      <w:r>
        <w:rPr>
          <w:rStyle w:val="VerbatimChar"/>
          <w:rFonts w:eastAsia="menlo" w:cs="menlo" w:ascii="menlo" w:hAnsi="menlo"/>
          <w:color w:val="000000"/>
          <w:sz w:val="18"/>
          <w:shd w:val="clear" w:color="auto" w:fill="F8F8FA"/>
        </w:rPr>
        <w:t xml:space="preserve">238f0f1f152ebbb1b4691f555e98c888473d8ee7</w:t>
      </w:r>
      <w:r>
        <w:rPr>
          <w:rFonts w:eastAsia="source serif 4" w:cs="source serif 4" w:ascii="source serif 4" w:hAnsi="source serif 4"/>
          <w:color w:val="000000"/>
          <w:sz w:val="21"/>
        </w:rPr>
        <w:t xml:space="preserve">; GitHub reported mechanical merge state </w:t>
      </w:r>
      <w:r>
        <w:rPr>
          <w:rStyle w:val="VerbatimChar"/>
          <w:rFonts w:eastAsia="menlo" w:cs="menlo" w:ascii="menlo" w:hAnsi="menlo"/>
          <w:color w:val="000000"/>
          <w:sz w:val="18"/>
          <w:shd w:val="clear" w:color="auto" w:fill="F8F8FA"/>
        </w:rPr>
        <w:t xml:space="preserve">CLEAN</w:t>
      </w:r>
      <w:r>
        <w:rPr>
          <w:rFonts w:eastAsia="source serif 4" w:cs="source serif 4" w:ascii="source serif 4" w:hAnsi="source serif 4"/>
          <w:color w:val="000000"/>
          <w:sz w:val="21"/>
        </w:rPr>
        <w:t xml:space="preserve">, while its 15 check records contained 14 successes and one skipped deployment gate, not a product acceptance verdict (</w:t>
      </w:r>
      <w:hyperlink r:id="rId18">
        <w:r>
          <w:rPr>
            <w:rFonts w:eastAsia="source sans 3" w:cs="source sans 3" w:ascii="source sans 3" w:hAnsi="source sans 3"/>
            <w:color w:val="#000"/>
            <w:sz w:val="21"/>
            <w:u w:val="single"/>
          </w:rPr>
          <w:t xml:space="preserve">PR524</w:t>
        </w:r>
      </w:hyperlink>
      <w:r>
        <w:rPr>
          <w:rFonts w:eastAsia="source serif 4" w:cs="source serif 4" w:ascii="source serif 4" w:hAnsi="source serif 4"/>
          <w:color w:val="000000"/>
          <w:sz w:val="21"/>
        </w:rPr>
        <w:t xml:space="preserve">).</w:t>
      </w:r>
    </w:p>
    <w:p>
      <w:pPr>
        <w:numPr>
          <w:ilvl w:val="0"/>
          <w:numId w:val="1"/>
        </w:numPr>
        <w:spacing w:line="360" w:before="105" w:after="105" w:lineRule="auto"/>
      </w:pPr>
      <w:r>
        <w:rPr>
          <w:rFonts w:eastAsia="source serif 4" w:cs="source serif 4" w:ascii="source serif 4" w:hAnsi="source serif 4"/>
          <w:b/>
          <w:color w:val="000000"/>
          <w:sz w:val="21"/>
        </w:rPr>
        <w:t xml:space="preserve">Merge currently can be a release action:</w:t>
      </w:r>
      <w:r>
        <w:rPr>
          <w:rFonts w:eastAsia="source serif 4" w:cs="source serif 4" w:ascii="source serif 4" w:hAnsi="source serif 4"/>
          <w:color w:val="000000"/>
          <w:sz w:val="21"/>
        </w:rPr>
        <w:t xml:space="preserve"> The backend Fly workflow triggers on pushes to main without depending on the strict readiness workflow; the latter's PR behavior is informational, so removing a merge check without addressing this coupling can remove a production safeguard (</w:t>
      </w:r>
      <w:hyperlink r:id="rId19">
        <w:r>
          <w:rPr>
            <w:rFonts w:eastAsia="source sans 3" w:cs="source sans 3" w:ascii="source sans 3" w:hAnsi="source sans 3"/>
            <w:color w:val="#000"/>
            <w:sz w:val="21"/>
            <w:u w:val="single"/>
          </w:rPr>
          <w:t xml:space="preserve">Fly deployment workflow</w:t>
        </w:r>
      </w:hyperlink>
      <w:r>
        <w:rPr>
          <w:rFonts w:eastAsia="source serif 4" w:cs="source serif 4" w:ascii="source serif 4" w:hAnsi="source serif 4"/>
          <w:color w:val="000000"/>
          <w:sz w:val="21"/>
        </w:rPr>
        <w:t xml:space="preserve">, </w:t>
      </w:r>
      <w:hyperlink r:id="rId20">
        <w:r>
          <w:rPr>
            <w:rFonts w:eastAsia="source sans 3" w:cs="source sans 3" w:ascii="source sans 3" w:hAnsi="source sans 3"/>
            <w:color w:val="#000"/>
            <w:sz w:val="21"/>
            <w:u w:val="single"/>
          </w:rPr>
          <w:t xml:space="preserve">readiness workflow</w:t>
        </w:r>
      </w:hyperlink>
      <w:r>
        <w:rPr>
          <w:rFonts w:eastAsia="source serif 4" w:cs="source serif 4" w:ascii="source serif 4" w:hAnsi="source serif 4"/>
          <w:color w:val="000000"/>
          <w:sz w:val="21"/>
        </w:rPr>
        <w:t xml:space="preserve">).</w:t>
      </w:r>
    </w:p>
    <w:p>
      <w:pPr>
        <w:numPr>
          <w:ilvl w:val="0"/>
          <w:numId w:val="1"/>
        </w:numPr>
        <w:spacing w:line="360" w:before="105" w:after="105" w:lineRule="auto"/>
      </w:pPr>
      <w:r>
        <w:rPr>
          <w:rFonts w:eastAsia="source serif 4" w:cs="source serif 4" w:ascii="source serif 4" w:hAnsi="source serif 4"/>
          <w:b/>
          <w:color w:val="000000"/>
          <w:sz w:val="21"/>
        </w:rPr>
        <w:t xml:space="preserve">A green scanner job can conceal a failed scanner:</w:t>
      </w:r>
      <w:r>
        <w:rPr>
          <w:rFonts w:eastAsia="source serif 4" w:cs="source serif 4" w:ascii="source serif 4" w:hAnsi="source serif 4"/>
          <w:color w:val="000000"/>
          <w:sz w:val="21"/>
        </w:rPr>
        <w:t xml:space="preserve"> The CodeQL workflow permits analysis failure and treats unavailable security-setting information as disabled, while the public audit separately acknowledges a real successful analysis at the examined PR head; the defect is fail-open workflow semantics, not evidence that that particular scan failed (</w:t>
      </w:r>
      <w:hyperlink r:id="rId21">
        <w:r>
          <w:rPr>
            <w:rFonts w:eastAsia="source sans 3" w:cs="source sans 3" w:ascii="source sans 3" w:hAnsi="source sans 3"/>
            <w:color w:val="#000"/>
            <w:sz w:val="21"/>
            <w:u w:val="single"/>
          </w:rPr>
          <w:t xml:space="preserve">CodeQL workflow</w:t>
        </w:r>
      </w:hyperlink>
      <w:r>
        <w:rPr>
          <w:rFonts w:eastAsia="source serif 4" w:cs="source serif 4" w:ascii="source serif 4" w:hAnsi="source serif 4"/>
          <w:color w:val="000000"/>
          <w:sz w:val="21"/>
        </w:rPr>
        <w:t xml:space="preserve">, </w:t>
      </w:r>
      <w:hyperlink r:id="rId22">
        <w:r>
          <w:rPr>
            <w:rFonts w:eastAsia="source sans 3" w:cs="source sans 3" w:ascii="source sans 3" w:hAnsi="source sans 3"/>
            <w:color w:val="#000"/>
            <w:sz w:val="21"/>
            <w:u w:val="single"/>
          </w:rPr>
          <w:t xml:space="preserve">audit F05</w:t>
        </w:r>
      </w:hyperlink>
      <w:r>
        <w:rPr>
          <w:rFonts w:eastAsia="source serif 4" w:cs="source serif 4" w:ascii="source serif 4" w:hAnsi="source serif 4"/>
          <w:color w:val="000000"/>
          <w:sz w:val="21"/>
        </w:rPr>
        <w:t xml:space="preserve">).</w:t>
      </w:r>
    </w:p>
    <w:p>
      <w:pPr>
        <w:numPr>
          <w:ilvl w:val="0"/>
          <w:numId w:val="1"/>
        </w:numPr>
        <w:spacing w:line="360" w:before="105" w:after="105" w:lineRule="auto"/>
      </w:pPr>
      <w:r>
        <w:rPr>
          <w:rFonts w:eastAsia="source serif 4" w:cs="source serif 4" w:ascii="source serif 4" w:hAnsi="source serif 4"/>
          <w:b/>
          <w:color w:val="000000"/>
          <w:sz w:val="21"/>
        </w:rPr>
        <w:t xml:space="preserve">Identity and protection are in conflict:</w:t>
      </w:r>
      <w:r>
        <w:rPr>
          <w:rFonts w:eastAsia="source serif 4" w:cs="source serif 4" w:ascii="source serif 4" w:hAnsi="source serif 4"/>
          <w:color w:val="000000"/>
          <w:sz w:val="21"/>
        </w:rPr>
        <w:t xml:space="preserve"> The existing merge runbook forbids server-side production merges and constructs an owner-attributed commit for direct fast-forward push, whereas the doctrine also requires PR/review protection; this needs an explicit compatible merge design, not another instruction to “follow both” (</w:t>
      </w:r>
      <w:hyperlink r:id="rId23">
        <w:r>
          <w:rPr>
            <w:rFonts w:eastAsia="source sans 3" w:cs="source sans 3" w:ascii="source sans 3" w:hAnsi="source sans 3"/>
            <w:color w:val="#000"/>
            <w:sz w:val="21"/>
            <w:u w:val="single"/>
          </w:rPr>
          <w:t xml:space="preserve">merge runbook</w:t>
        </w:r>
      </w:hyperlink>
      <w:r>
        <w:rPr>
          <w:rFonts w:eastAsia="source serif 4" w:cs="source serif 4" w:ascii="source serif 4" w:hAnsi="source serif 4"/>
          <w:color w:val="000000"/>
          <w:sz w:val="21"/>
        </w:rPr>
        <w:t xml:space="preserve">, </w:t>
      </w:r>
      <w:hyperlink r:id="rId24">
        <w:r>
          <w:rPr>
            <w:rFonts w:eastAsia="source sans 3" w:cs="source sans 3" w:ascii="source sans 3" w:hAnsi="source sans 3"/>
            <w:color w:val="#000"/>
            <w:sz w:val="21"/>
            <w:u w:val="single"/>
          </w:rPr>
          <w:t xml:space="preserve">R3, R102, R122</w:t>
        </w:r>
      </w:hyperlink>
      <w:r>
        <w:rPr>
          <w:rFonts w:eastAsia="source serif 4" w:cs="source serif 4" w:ascii="source serif 4" w:hAnsi="source serif 4"/>
          <w:color w:val="000000"/>
          <w:sz w:val="21"/>
        </w:rPr>
        <w:t xml:space="preserve">).</w:t>
      </w:r>
    </w:p>
    <w:p>
      <w:pPr>
        <w:numPr>
          <w:ilvl w:val="0"/>
          <w:numId w:val="1"/>
        </w:numPr>
        <w:spacing w:line="360" w:before="105" w:after="105" w:lineRule="auto"/>
      </w:pPr>
      <w:r>
        <w:rPr>
          <w:rFonts w:eastAsia="source serif 4" w:cs="source serif 4" w:ascii="source serif 4" w:hAnsi="source serif 4"/>
          <w:b/>
          <w:color w:val="000000"/>
          <w:sz w:val="21"/>
        </w:rPr>
        <w:t xml:space="preserve">Structured state has become prose storage:</w:t>
      </w:r>
      <w:r>
        <w:rPr>
          <w:rFonts w:eastAsia="source serif 4" w:cs="source serif 4" w:ascii="source serif 4" w:hAnsi="source serif 4"/>
          <w:color w:val="000000"/>
          <w:sz w:val="21"/>
        </w:rPr>
        <w:t xml:space="preserve"> The importer-wave </w:t>
      </w:r>
      <w:r>
        <w:rPr>
          <w:rStyle w:val="VerbatimChar"/>
          <w:rFonts w:eastAsia="menlo" w:cs="menlo" w:ascii="menlo" w:hAnsi="menlo"/>
          <w:color w:val="000000"/>
          <w:sz w:val="18"/>
          <w:shd w:val="clear" w:color="auto" w:fill="F8F8FA"/>
        </w:rPr>
        <w:t xml:space="preserve">current-state.json</w:t>
      </w:r>
      <w:r>
        <w:rPr>
          <w:rFonts w:eastAsia="source serif 4" w:cs="source serif 4" w:ascii="source serif 4" w:hAnsi="source serif 4"/>
          <w:color w:val="000000"/>
          <w:sz w:val="21"/>
        </w:rPr>
        <w:t xml:space="preserve"> contains 2,563 lines and 55,646 whitespace-delimited words and still presents an older July/Op75 state, while current work is in Op81 records; changing a file extension to JSON did not remove state reconstruction (</w:t>
      </w:r>
      <w:hyperlink r:id="rId25">
        <w:r>
          <w:rPr>
            <w:rFonts w:eastAsia="source sans 3" w:cs="source sans 3" w:ascii="source sans 3" w:hAnsi="source sans 3"/>
            <w:color w:val="#000"/>
            <w:sz w:val="21"/>
            <w:u w:val="single"/>
          </w:rPr>
          <w:t xml:space="preserve">older state snapshot</w:t>
        </w:r>
      </w:hyperlink>
      <w:r>
        <w:rPr>
          <w:rFonts w:eastAsia="source serif 4" w:cs="source serif 4" w:ascii="source serif 4" w:hAnsi="source serif 4"/>
          <w:color w:val="000000"/>
          <w:sz w:val="21"/>
        </w:rPr>
        <w:t xml:space="preserve">, </w:t>
      </w:r>
      <w:hyperlink r:id="rId26">
        <w:r>
          <w:rPr>
            <w:rFonts w:eastAsia="source sans 3" w:cs="source sans 3" w:ascii="source sans 3" w:hAnsi="source sans 3"/>
            <w:color w:val="#000"/>
            <w:sz w:val="21"/>
            <w:u w:val="single"/>
          </w:rPr>
          <w:t xml:space="preserve">current execution evidence</w:t>
        </w:r>
      </w:hyperlink>
      <w:r>
        <w:rPr>
          <w:rFonts w:eastAsia="source serif 4" w:cs="source serif 4" w:ascii="source serif 4" w:hAnsi="source serif 4"/>
          <w:color w:val="000000"/>
          <w:sz w:val="21"/>
        </w:rPr>
        <w:t xml:space="preserve">).</w:t>
      </w:r>
    </w:p>
    <w:p>
      <w:pPr>
        <w:numPr>
          <w:ilvl w:val="0"/>
          <w:numId w:val="1"/>
        </w:numPr>
        <w:spacing w:line="360" w:before="105" w:after="105" w:lineRule="auto"/>
      </w:pPr>
      <w:r>
        <w:rPr>
          <w:rFonts w:eastAsia="source serif 4" w:cs="source serif 4" w:ascii="source serif 4" w:hAnsi="source serif 4"/>
          <w:b/>
          <w:color w:val="000000"/>
          <w:sz w:val="21"/>
        </w:rPr>
        <w:t xml:space="preserve">The recovery lessons remain real:</w:t>
      </w:r>
      <w:r>
        <w:rPr>
          <w:rFonts w:eastAsia="source serif 4" w:cs="source serif 4" w:ascii="source serif 4" w:hAnsi="source serif 4"/>
          <w:color w:val="000000"/>
          <w:sz w:val="21"/>
        </w:rPr>
        <w:t xml:space="preserve"> The manifest distinguishes recovered source from missing D1/D2/final-audit evidence and warns against treating reconstructed bytes as verified completion; simplification must preserve that distinction (</w:t>
      </w:r>
      <w:hyperlink r:id="rId27">
        <w:r>
          <w:rPr>
            <w:rFonts w:eastAsia="source sans 3" w:cs="source sans 3" w:ascii="source sans 3" w:hAnsi="source sans 3"/>
            <w:color w:val="#000"/>
            <w:sz w:val="21"/>
            <w:u w:val="single"/>
          </w:rPr>
          <w:t xml:space="preserve">recovery manifest</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The evidence therefore supports a sharper system, not indiscriminate relaxation. Some bureaucracy can disappear immediately on adoption; some procedural work remains necessary until a genuinely enforced alternative exists.</w:t>
      </w:r>
    </w:p>
    <w:p>
      <w:pPr>
        <w:spacing w:line="360" w:before="315" w:after="105" w:lineRule="auto"/>
        <w:ind w:left="-30"/>
        <w:jc w:val="left"/>
      </w:pPr>
      <w:bookmarkStart w:id="5" w:name="disposition_of_the_current_rules"/>
      <w:r>
        <w:rPr>
          <w:rFonts w:eastAsia="source serif 4" w:cs="source serif 4" w:ascii="source serif 4" w:hAnsi="source serif 4"/>
          <w:b/>
          <w:color w:val="000000"/>
          <w:sz w:val="24"/>
        </w:rPr>
        <w:t xml:space="preserve">Disposition of the current rules</w:t>
      </w:r>
      <w:bookmarkEnd w:id="5"/>
    </w:p>
    <w:p>
      <w:pPr>
        <w:spacing w:line="360" w:after="210" w:lineRule="auto"/>
      </w:pPr>
      <w:r>
        <w:rPr>
          <w:rFonts w:eastAsia="source serif 4" w:cs="source serif 4" w:ascii="source serif 4" w:hAnsi="source serif 4"/>
          <w:color w:val="000000"/>
        </w:rPr>
        <w:t xml:space="preserve">The complete inventory and per-rule failure rationale are in the disposition annex. Its categories overlap deliberately: a rule can preserve an invariant, merge its prose, automate its deterministic part, and delete an arbitrary threshold at the same time.</w:t>
      </w:r>
    </w:p>
    <w:p>
      <w:pPr>
        <w:spacing w:line="360" w:before="315" w:after="105" w:lineRule="auto"/>
        <w:ind w:left="-30"/>
        <w:jc w:val="left"/>
      </w:pPr>
      <w:bookmarkStart w:id="6" w:name="keep_the_high_value_invariants"/>
      <w:r>
        <w:rPr>
          <w:rFonts w:eastAsia="source serif 4" w:cs="source serif 4" w:ascii="source serif 4" w:hAnsi="source serif 4"/>
          <w:b/>
          <w:color w:val="000000"/>
          <w:sz w:val="24"/>
        </w:rPr>
        <w:t xml:space="preserve">Keep the high-value invariants</w:t>
      </w:r>
      <w:bookmarkEnd w:id="6"/>
    </w:p>
    <w:p>
      <w:pPr>
        <w:numPr>
          <w:ilvl w:val="0"/>
          <w:numId w:val="2"/>
        </w:numPr>
        <w:spacing w:line="360" w:before="105" w:after="105" w:lineRule="auto"/>
      </w:pPr>
      <w:r>
        <w:rPr>
          <w:rFonts w:eastAsia="source serif 4" w:cs="source serif 4" w:ascii="source serif 4" w:hAnsi="source serif 4"/>
          <w:b/>
          <w:color w:val="000000"/>
          <w:sz w:val="21"/>
        </w:rPr>
        <w:t xml:space="preserve">Product truth and quality:</w:t>
      </w:r>
      <w:r>
        <w:rPr>
          <w:rFonts w:eastAsia="source serif 4" w:cs="source serif 4" w:ascii="source serif 4" w:hAnsi="source serif 4"/>
          <w:color w:val="000000"/>
          <w:sz w:val="21"/>
        </w:rPr>
        <w:t xml:space="preserve"> Real customer outcomes, acceptance criteria, coherent UX, accessibility, reliable errors, and no false readiness claims.</w:t>
      </w:r>
    </w:p>
    <w:p>
      <w:pPr>
        <w:numPr>
          <w:ilvl w:val="0"/>
          <w:numId w:val="2"/>
        </w:numPr>
        <w:spacing w:line="360" w:before="105" w:after="105" w:lineRule="auto"/>
      </w:pPr>
      <w:r>
        <w:rPr>
          <w:rFonts w:eastAsia="source serif 4" w:cs="source serif 4" w:ascii="source serif 4" w:hAnsi="source serif 4"/>
          <w:b/>
          <w:color w:val="000000"/>
          <w:sz w:val="21"/>
        </w:rPr>
        <w:t xml:space="preserve">Durability and ownership:</w:t>
      </w:r>
      <w:r>
        <w:rPr>
          <w:rFonts w:eastAsia="source serif 4" w:cs="source serif 4" w:ascii="source serif 4" w:hAnsi="source serif 4"/>
          <w:color w:val="000000"/>
          <w:sz w:val="21"/>
        </w:rPr>
        <w:t xml:space="preserve"> Recoverable work, explicit source identity, bounded scope, dependency sequencing, one writer per mutable area, and truthful handoffs.</w:t>
      </w:r>
    </w:p>
    <w:p>
      <w:pPr>
        <w:numPr>
          <w:ilvl w:val="0"/>
          <w:numId w:val="2"/>
        </w:numPr>
        <w:spacing w:line="360" w:before="105" w:after="105" w:lineRule="auto"/>
      </w:pPr>
      <w:r>
        <w:rPr>
          <w:rFonts w:eastAsia="source serif 4" w:cs="source serif 4" w:ascii="source serif 4" w:hAnsi="source serif 4"/>
          <w:b/>
          <w:color w:val="000000"/>
          <w:sz w:val="21"/>
        </w:rPr>
        <w:t xml:space="preserve">Critical boundaries:</w:t>
      </w:r>
      <w:r>
        <w:rPr>
          <w:rFonts w:eastAsia="source serif 4" w:cs="source serif 4" w:ascii="source serif 4" w:hAnsi="source serif 4"/>
          <w:color w:val="000000"/>
          <w:sz w:val="21"/>
        </w:rPr>
        <w:t xml:space="preserve"> Tenant isolation, authorization, privacy, money, transactions, migrations, secret handling, and production integrity.</w:t>
      </w:r>
    </w:p>
    <w:p>
      <w:pPr>
        <w:numPr>
          <w:ilvl w:val="0"/>
          <w:numId w:val="2"/>
        </w:numPr>
        <w:spacing w:line="360" w:before="105" w:after="105" w:lineRule="auto"/>
      </w:pPr>
      <w:r>
        <w:rPr>
          <w:rFonts w:eastAsia="source serif 4" w:cs="source serif 4" w:ascii="source serif 4" w:hAnsi="source serif 4"/>
          <w:b/>
          <w:color w:val="000000"/>
          <w:sz w:val="21"/>
        </w:rPr>
        <w:t xml:space="preserve">Evidence integrity:</w:t>
      </w:r>
      <w:r>
        <w:rPr>
          <w:rFonts w:eastAsia="source serif 4" w:cs="source serif 4" w:ascii="source serif 4" w:hAnsi="source serif 4"/>
          <w:color w:val="000000"/>
          <w:sz w:val="21"/>
        </w:rPr>
        <w:t xml:space="preserve"> Exact relevant candidates, attributable test results, honest unknowns, genuine reviewer independence, and explicit material finding closure.</w:t>
      </w:r>
    </w:p>
    <w:p>
      <w:pPr>
        <w:numPr>
          <w:ilvl w:val="0"/>
          <w:numId w:val="2"/>
        </w:numPr>
        <w:spacing w:line="360" w:before="105" w:after="105" w:lineRule="auto"/>
      </w:pPr>
      <w:r>
        <w:rPr>
          <w:rFonts w:eastAsia="source serif 4" w:cs="source serif 4" w:ascii="source serif 4" w:hAnsi="source serif 4"/>
          <w:b/>
          <w:color w:val="000000"/>
          <w:sz w:val="21"/>
        </w:rPr>
        <w:t xml:space="preserve">Release accountability:</w:t>
      </w:r>
      <w:r>
        <w:rPr>
          <w:rFonts w:eastAsia="source serif 4" w:cs="source serif 4" w:ascii="source serif 4" w:hAnsi="source serif 4"/>
          <w:color w:val="000000"/>
          <w:sz w:val="21"/>
        </w:rPr>
        <w:t xml:space="preserve"> Full-system compatibility, real journeys, operational readiness, and security/reliability/customer-experience acceptance.</w:t>
      </w:r>
    </w:p>
    <w:p>
      <w:pPr>
        <w:spacing w:line="360" w:after="210" w:lineRule="auto"/>
      </w:pPr>
      <w:r>
        <w:rPr>
          <w:rFonts w:eastAsia="source serif 4" w:cs="source serif 4" w:ascii="source serif 4" w:hAnsi="source serif 4"/>
          <w:color w:val="000000"/>
        </w:rPr>
        <w:t xml:space="preserve">These preserve the useful intent of the foundation, audit, security, integrity, reproducibility, and quality rules without requiring a separate memorized commandment for each implementation technique (</w:t>
      </w:r>
      <w:hyperlink r:id="rId28">
        <w:r>
          <w:rPr>
            <w:rFonts w:eastAsia="source sans 3" w:cs="source sans 3" w:ascii="source sans 3" w:hAnsi="source sans 3"/>
            <w:color w:val="#000"/>
            <w:u w:val="single"/>
          </w:rPr>
          <w:t xml:space="preserve">current doctrine</w:t>
        </w:r>
      </w:hyperlink>
      <w:r>
        <w:rPr>
          <w:rFonts w:eastAsia="source serif 4" w:cs="source serif 4" w:ascii="source serif 4" w:hAnsi="source serif 4"/>
          <w:color w:val="000000"/>
        </w:rPr>
        <w:t xml:space="preserve">).</w:t>
      </w:r>
    </w:p>
    <w:p>
      <w:pPr>
        <w:spacing w:line="360" w:before="315" w:after="105" w:lineRule="auto"/>
        <w:ind w:left="-30"/>
        <w:jc w:val="left"/>
      </w:pPr>
      <w:bookmarkStart w:id="7" w:name="merge_overlapping_rules_into_a_si_29a56a"/>
      <w:r>
        <w:rPr>
          <w:rFonts w:eastAsia="source serif 4" w:cs="source serif 4" w:ascii="source serif 4" w:hAnsi="source serif 4"/>
          <w:b/>
          <w:color w:val="000000"/>
          <w:sz w:val="24"/>
        </w:rPr>
        <w:t xml:space="preserve">Merge overlapping rules into a single invariant</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Existing cluster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Consolidated destination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R1/R2/R100/R109 and quality addenda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G02 customer quality, G16 artifact integrity, G18 release acceptance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R4–R8 and continuous wake/probe prose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G04 durability/ownership, G19 current state, G20 recovery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R10–R16/R78/R79 and duplicated brief/checklist templates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G06 tiers, G09 evidence, G10 independent review, G11 finding consequence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R17–R22/R80/R81/R84/R93/R124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G03 scope, G08 evidence-based tests, G09 attribution, G14 dependency/contract coherence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R23/R74/R76/R89/R105/R116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G08 meaningful verification and executable budgets; delete volume-as-quality doctrine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R25/R28/R30/R32/R92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G12 authorization and tenant isolation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R51/R52/R67/R82/R90/R97/R98/R107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G13 state, data, financial and privacy integrity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R33/R94/R95/R110–R120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G07 trusted checks and G16 trustworthy artifacts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R71/R102/R121/R122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G05 identity and G17 protected merge/deployment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R125/R126/R130–R138 and constitution addendum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G19 minimal state and G21/G22 simplicity/evidence-based governance</w:t>
            </w:r>
          </w:p>
        </w:tc>
      </w:tr>
    </w:tbl>
    <w:p>
      <w:pPr>
        <w:spacing w:lineRule="auto"/>
      </w:pPr>
    </w:p>
    <w:p>
      <w:pPr>
        <w:spacing w:line="360" w:after="210" w:lineRule="auto"/>
      </w:pPr>
      <w:r>
        <w:rPr>
          <w:rFonts w:eastAsia="source serif 4" w:cs="source serif 4" w:ascii="source serif 4" w:hAnsi="source serif 4"/>
          <w:color w:val="000000"/>
        </w:rPr>
        <w:t xml:space="preserve">These are proposed consolidations of the identified rules, not a claim that their current implementations are equivalent or complete (</w:t>
      </w:r>
      <w:hyperlink r:id="rId29">
        <w:r>
          <w:rPr>
            <w:rFonts w:eastAsia="source sans 3" w:cs="source sans 3" w:ascii="source sans 3" w:hAnsi="source sans 3"/>
            <w:color w:val="#000"/>
            <w:u w:val="single"/>
          </w:rPr>
          <w:t xml:space="preserve">canonical rule text</w:t>
        </w:r>
      </w:hyperlink>
      <w:r>
        <w:rPr>
          <w:rFonts w:eastAsia="source serif 4" w:cs="source serif 4" w:ascii="source serif 4" w:hAnsi="source serif 4"/>
          <w:color w:val="000000"/>
        </w:rPr>
        <w:t xml:space="preserve">).</w:t>
      </w:r>
    </w:p>
    <w:p>
      <w:pPr>
        <w:spacing w:line="360" w:before="315" w:after="105" w:lineRule="auto"/>
        <w:ind w:left="-30"/>
        <w:jc w:val="left"/>
      </w:pPr>
      <w:bookmarkStart w:id="8" w:name="automate_deterministic_facts_reta_38327d"/>
      <w:r>
        <w:rPr>
          <w:rFonts w:eastAsia="source serif 4" w:cs="source serif 4" w:ascii="source serif 4" w:hAnsi="source serif 4"/>
          <w:b/>
          <w:color w:val="000000"/>
          <w:sz w:val="24"/>
        </w:rPr>
        <w:t xml:space="preserve">Automate deterministic facts, retain judgment where it matters</w:t>
      </w:r>
      <w:bookmarkEnd w:id="8"/>
    </w:p>
    <w:p>
      <w:pPr>
        <w:spacing w:line="360" w:after="210" w:lineRule="auto"/>
      </w:pPr>
      <w:r>
        <w:rPr>
          <w:rFonts w:eastAsia="source serif 4" w:cs="source serif 4" w:ascii="source serif 4" w:hAnsi="source serif 4"/>
          <w:color w:val="000000"/>
        </w:rPr>
        <w:t xml:space="preserve">Automate identity, required check completion, actual scanner execution, prohibited syntax, contract freshness, branch/head/base facts, resolved dependencies, build provenance, control ownership, migration execution, and evidence linkage. Do not claim automation proves a good architecture, adequate threat model, correct tenant policy, honest acceptance criterion, or excellent customer experience.</w:t>
      </w:r>
    </w:p>
    <w:p>
      <w:pPr>
        <w:spacing w:line="360" w:after="210" w:lineRule="auto"/>
      </w:pPr>
      <w:r>
        <w:rPr>
          <w:rFonts w:eastAsia="source serif 4" w:cs="source serif 4" w:ascii="source serif 4" w:hAnsi="source serif 4"/>
          <w:color w:val="000000"/>
        </w:rPr>
        <w:t xml:space="preserve">Path-based risk floors, schema-valid findings, test counts, and RLS linters are supporting controls. An authorized reviewer must still decide whether the risk classification and evidence actually fit the behavior. Replace “an auditor repeats every CI assertion” with “an auditor challenges the coverage and integrity of the assertions.”</w:t>
      </w:r>
    </w:p>
    <w:p>
      <w:pPr>
        <w:spacing w:line="360" w:before="315" w:after="105" w:lineRule="auto"/>
        <w:ind w:left="-30"/>
        <w:jc w:val="left"/>
      </w:pPr>
      <w:bookmarkStart w:id="9" w:name="delete_requirements_whose_cost_ex_c97bb6"/>
      <w:r>
        <w:rPr>
          <w:rFonts w:eastAsia="source serif 4" w:cs="source serif 4" w:ascii="source serif 4" w:hAnsi="source serif 4"/>
          <w:b/>
          <w:color w:val="000000"/>
          <w:sz w:val="24"/>
        </w:rPr>
        <w:t xml:space="preserve">Delete requirements whose cost exceeds their protective value</w:t>
      </w:r>
      <w:bookmarkEnd w:id="9"/>
    </w:p>
    <w:p>
      <w:pPr>
        <w:numPr>
          <w:ilvl w:val="0"/>
          <w:numId w:val="3"/>
        </w:numPr>
        <w:spacing w:line="360" w:before="105" w:after="105" w:lineRule="auto"/>
      </w:pPr>
      <w:r>
        <w:rPr>
          <w:rFonts w:eastAsia="source serif 4" w:cs="source serif 4" w:ascii="source serif 4" w:hAnsi="source serif 4"/>
          <w:b/>
          <w:color w:val="000000"/>
          <w:sz w:val="21"/>
        </w:rPr>
        <w:t xml:space="preserve">Universal dual audits:</w:t>
      </w:r>
      <w:r>
        <w:rPr>
          <w:rFonts w:eastAsia="source serif 4" w:cs="source serif 4" w:ascii="source serif 4" w:hAnsi="source serif 4"/>
          <w:color w:val="000000"/>
          <w:sz w:val="21"/>
        </w:rPr>
        <w:t xml:space="preserve"> Remove from T0/T1/T2; apply a second lens in T3 only for the explicit triggers. Keep dual independent audits for T4.</w:t>
      </w:r>
    </w:p>
    <w:p>
      <w:pPr>
        <w:numPr>
          <w:ilvl w:val="0"/>
          <w:numId w:val="3"/>
        </w:numPr>
        <w:spacing w:line="360" w:before="105" w:after="105" w:lineRule="auto"/>
      </w:pPr>
      <w:r>
        <w:rPr>
          <w:rFonts w:eastAsia="source serif 4" w:cs="source serif 4" w:ascii="source serif 4" w:hAnsi="source serif 4"/>
          <w:b/>
          <w:color w:val="000000"/>
          <w:sz w:val="21"/>
        </w:rPr>
        <w:t xml:space="preserve">Universal zero-P3 closure:</w:t>
      </w:r>
      <w:r>
        <w:rPr>
          <w:rFonts w:eastAsia="source serif 4" w:cs="source serif 4" w:ascii="source serif 4" w:hAnsi="source serif 4"/>
          <w:color w:val="000000"/>
          <w:sz w:val="21"/>
        </w:rPr>
        <w:t xml:space="preserve"> Remove cosmetic/style disagreement as a mandatory blocker. Keep consequential findings regardless of label.</w:t>
      </w:r>
    </w:p>
    <w:p>
      <w:pPr>
        <w:numPr>
          <w:ilvl w:val="0"/>
          <w:numId w:val="3"/>
        </w:numPr>
        <w:spacing w:line="360" w:before="105" w:after="105" w:lineRule="auto"/>
      </w:pPr>
      <w:r>
        <w:rPr>
          <w:rFonts w:eastAsia="source serif 4" w:cs="source serif 4" w:ascii="source serif 4" w:hAnsi="source serif 4"/>
          <w:b/>
          <w:color w:val="000000"/>
          <w:sz w:val="21"/>
        </w:rPr>
        <w:t xml:space="preserve">Repeated complete sweeps:</w:t>
      </w:r>
      <w:r>
        <w:rPr>
          <w:rFonts w:eastAsia="source serif 4" w:cs="source serif 4" w:ascii="source serif 4" w:hAnsi="source serif 4"/>
          <w:color w:val="000000"/>
          <w:sz w:val="21"/>
        </w:rPr>
        <w:t xml:space="preserve"> Remove the compulsory whole-doctrine/50-failures sweep on every tiny change and every fix. Select relevant failure families, with broad coverage at genuinely broad boundaries.</w:t>
      </w:r>
    </w:p>
    <w:p>
      <w:pPr>
        <w:numPr>
          <w:ilvl w:val="0"/>
          <w:numId w:val="3"/>
        </w:numPr>
        <w:spacing w:line="360" w:before="105" w:after="105" w:lineRule="auto"/>
      </w:pPr>
      <w:r>
        <w:rPr>
          <w:rFonts w:eastAsia="source serif 4" w:cs="source serif 4" w:ascii="source serif 4" w:hAnsi="source serif 4"/>
          <w:b/>
          <w:color w:val="000000"/>
          <w:sz w:val="21"/>
        </w:rPr>
        <w:t xml:space="preserve">Volume proxies:</w:t>
      </w:r>
      <w:r>
        <w:rPr>
          <w:rFonts w:eastAsia="source serif 4" w:cs="source serif 4" w:ascii="source serif 4" w:hAnsi="source serif 4"/>
          <w:color w:val="000000"/>
          <w:sz w:val="21"/>
        </w:rPr>
        <w:t xml:space="preserve"> Delete universal 2:1 test/source LOC, automatic 400-line P1 status, mandatory controller/comment ratios, and prose exception forms. Keep observable complexity, test adequacy, and reviewability.</w:t>
      </w:r>
    </w:p>
    <w:p>
      <w:pPr>
        <w:numPr>
          <w:ilvl w:val="0"/>
          <w:numId w:val="3"/>
        </w:numPr>
        <w:spacing w:line="360" w:before="105" w:after="105" w:lineRule="auto"/>
      </w:pPr>
      <w:r>
        <w:rPr>
          <w:rFonts w:eastAsia="source serif 4" w:cs="source serif 4" w:ascii="source serif 4" w:hAnsi="source serif 4"/>
          <w:b/>
          <w:color w:val="000000"/>
          <w:sz w:val="21"/>
        </w:rPr>
        <w:t xml:space="preserve">Decision performance:</w:t>
      </w:r>
      <w:r>
        <w:rPr>
          <w:rFonts w:eastAsia="source serif 4" w:cs="source serif 4" w:ascii="source serif 4" w:hAnsi="source serif 4"/>
          <w:color w:val="000000"/>
          <w:sz w:val="21"/>
        </w:rPr>
        <w:t xml:space="preserve"> Delete four-question essays, three-option exercises, mandatory philosophical citations, theoretical-cost ratios, and add-back quotas for routine work.</w:t>
      </w:r>
    </w:p>
    <w:p>
      <w:pPr>
        <w:numPr>
          <w:ilvl w:val="0"/>
          <w:numId w:val="3"/>
        </w:numPr>
        <w:spacing w:line="360" w:before="105" w:after="105" w:lineRule="auto"/>
      </w:pPr>
      <w:r>
        <w:rPr>
          <w:rFonts w:eastAsia="source serif 4" w:cs="source serif 4" w:ascii="source serif 4" w:hAnsi="source serif 4"/>
          <w:b/>
          <w:color w:val="000000"/>
          <w:sz w:val="21"/>
        </w:rPr>
        <w:t xml:space="preserve">History in the hot path:</w:t>
      </w:r>
      <w:r>
        <w:rPr>
          <w:rFonts w:eastAsia="source serif 4" w:cs="source serif 4" w:ascii="source serif 4" w:hAnsi="source serif 4"/>
          <w:color w:val="000000"/>
          <w:sz w:val="21"/>
        </w:rPr>
        <w:t xml:space="preserve"> Delete repeated superseded paragraphs, checklist copies, and manual duplication of GitHub state. Preserve history once in Git and immutable evidence.</w:t>
      </w:r>
    </w:p>
    <w:p>
      <w:pPr>
        <w:numPr>
          <w:ilvl w:val="0"/>
          <w:numId w:val="3"/>
        </w:numPr>
        <w:spacing w:line="360" w:before="105" w:after="105" w:lineRule="auto"/>
      </w:pPr>
      <w:r>
        <w:rPr>
          <w:rFonts w:eastAsia="source serif 4" w:cs="source serif 4" w:ascii="source serif 4" w:hAnsi="source serif 4"/>
          <w:b/>
          <w:color w:val="000000"/>
          <w:sz w:val="21"/>
        </w:rPr>
        <w:t xml:space="preserve">Audit ceremony:</w:t>
      </w:r>
      <w:r>
        <w:rPr>
          <w:rFonts w:eastAsia="source serif 4" w:cs="source serif 4" w:ascii="source serif 4" w:hAnsi="source serif 4"/>
          <w:color w:val="000000"/>
          <w:sz w:val="21"/>
        </w:rPr>
        <w:t xml:space="preserve"> Delete mandatory terminal magic words as the semantic source of truth, per-dispatch predictions when unavailable, full restarts for unrelated context changes, and a second heavy test execution solely to appear independent.</w:t>
      </w:r>
    </w:p>
    <w:p>
      <w:pPr>
        <w:numPr>
          <w:ilvl w:val="0"/>
          <w:numId w:val="3"/>
        </w:numPr>
        <w:spacing w:line="360" w:before="105" w:after="105" w:lineRule="auto"/>
      </w:pPr>
      <w:r>
        <w:rPr>
          <w:rFonts w:eastAsia="source serif 4" w:cs="source serif 4" w:ascii="source serif 4" w:hAnsi="source serif 4"/>
          <w:b/>
          <w:color w:val="000000"/>
          <w:sz w:val="21"/>
        </w:rPr>
        <w:t xml:space="preserve">Universal implementation preferences:</w:t>
      </w:r>
      <w:r>
        <w:rPr>
          <w:rFonts w:eastAsia="source serif 4" w:cs="source serif 4" w:ascii="source serif 4" w:hAnsi="source serif 4"/>
          <w:color w:val="000000"/>
          <w:sz w:val="21"/>
        </w:rPr>
        <w:t xml:space="preserve"> Remove blanket “always cache,” “always use a library,” “never poll,” fixed short handler limits, and mandatory idempotency-key headers for already idempotent operations. Preserve bounded behavior and domain-appropriate correctness.</w:t>
      </w:r>
    </w:p>
    <w:p>
      <w:pPr>
        <w:spacing w:line="360" w:after="210" w:lineRule="auto"/>
      </w:pPr>
      <w:r>
        <w:rPr>
          <w:rFonts w:eastAsia="source serif 4" w:cs="source serif 4" w:ascii="source serif 4" w:hAnsi="source serif 4"/>
          <w:color w:val="000000"/>
        </w:rPr>
        <w:t xml:space="preserve">The old file contains these obligations or overlapping versions of them; the annex distinguishes deleted mechanisms from retained safety objectives for every rule (</w:t>
      </w:r>
      <w:hyperlink r:id="rId30">
        <w:r>
          <w:rPr>
            <w:rFonts w:eastAsia="source sans 3" w:cs="source sans 3" w:ascii="source sans 3" w:hAnsi="source sans 3"/>
            <w:color w:val="#000"/>
            <w:u w:val="single"/>
          </w:rPr>
          <w:t xml:space="preserve">current doctrine</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“Delete” does not mean “disable existing CI immediately.” Delete the constitutional mandate on adoption, then remove or replace the relevant check through the protected change path. A failing useful security control is not paperwork simply because its finding is inconvenient.</w:t>
      </w:r>
    </w:p>
    <w:p>
      <w:pPr>
        <w:spacing w:line="360" w:before="315" w:after="105" w:lineRule="auto"/>
        <w:ind w:left="-30"/>
        <w:jc w:val="left"/>
      </w:pPr>
      <w:bookmarkStart w:id="10" w:name="risk_tier_framework"/>
      <w:r>
        <w:rPr>
          <w:rFonts w:eastAsia="source serif 4" w:cs="source serif 4" w:ascii="source serif 4" w:hAnsi="source serif 4"/>
          <w:b/>
          <w:color w:val="000000"/>
          <w:sz w:val="24"/>
        </w:rPr>
        <w:t xml:space="preserve">Risk-tier framework</w:t>
      </w:r>
      <w:bookmarkEnd w:id="10"/>
    </w:p>
    <w:p>
      <w:pPr>
        <w:spacing w:line="360" w:before="315" w:after="105" w:lineRule="auto"/>
        <w:ind w:left="-30"/>
        <w:jc w:val="left"/>
      </w:pPr>
      <w:bookmarkStart w:id="11" w:name="classification_and_minimum_assurance"/>
      <w:r>
        <w:rPr>
          <w:rFonts w:eastAsia="source serif 4" w:cs="source serif 4" w:ascii="source serif 4" w:hAnsi="source serif 4"/>
          <w:b/>
          <w:color w:val="000000"/>
          <w:sz w:val="24"/>
        </w:rPr>
        <w:t xml:space="preserve">Classification and minimum assurance</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Automation and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Judgment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 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Trivial, reversible, no behavioral or enforcement consequence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Applicable checks, clean diff, identity, normal CI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mandatory AI audit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 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Bounded private implementation with good coverage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Tests, lint/types/build as applicable, static/security checks, clean CI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Targeted AI code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 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Meaningful customer/business behavior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Tests and relevant contract/integration validation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independent adversarial audit and material closure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 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Shared architecture, contracts, primitives, infrastructure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automated coverage and integration/compatibility proof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Architecture review plus one independent audit; second lens for triggers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 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Auth/RLS/tenancy/PII/money/credentials/destructive or irreversible data/security/enforcement boundaries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Exact head and relevant artifacts, comprehensive relevant testing, static/security analysis, boundary/recovery proof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Two independent adversarial audits and explicit material closure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Release overlay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Integrated product candidate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Exact system manifest, cross-repository reconciliation, integrated tests, migration/configuration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 acceptance, security/reliability, adversarial and customer-experience review</w:t>
            </w:r>
          </w:p>
        </w:tc>
      </w:tr>
    </w:tbl>
    <w:p>
      <w:pPr>
        <w:spacing w:lineRule="auto"/>
      </w:pPr>
    </w:p>
    <w:p>
      <w:pPr>
        <w:spacing w:line="360" w:after="210" w:lineRule="auto"/>
      </w:pPr>
      <w:r>
        <w:rPr>
          <w:rFonts w:eastAsia="source serif 4" w:cs="source serif 4" w:ascii="source serif 4" w:hAnsi="source serif 4"/>
          <w:color w:val="000000"/>
        </w:rPr>
        <w:t xml:space="preserve">The Tier 3 triggers are multiple repositories, persistent data contracts, concurrency/state authority, foundational primitives, difficult-to-bound blast radius, or material architectural uncertainty raised by the first auditor. Multiple review purposes do not automatically require multiple additional people: an architecture review may be integrated into the independent audit if competence and independence are real.</w:t>
      </w:r>
    </w:p>
    <w:p>
      <w:pPr>
        <w:spacing w:line="360" w:before="315" w:after="105" w:lineRule="auto"/>
        <w:ind w:left="-30"/>
        <w:jc w:val="left"/>
      </w:pPr>
      <w:bookmarkStart w:id="12" w:name="guardrails_against_tier_laundering"/>
      <w:r>
        <w:rPr>
          <w:rFonts w:eastAsia="source serif 4" w:cs="source serif 4" w:ascii="source serif 4" w:hAnsi="source serif 4"/>
          <w:b/>
          <w:color w:val="000000"/>
          <w:sz w:val="24"/>
        </w:rPr>
        <w:t xml:space="preserve">Guardrails against tier laundering</w:t>
      </w:r>
      <w:bookmarkEnd w:id="12"/>
    </w:p>
    <w:p>
      <w:pPr>
        <w:numPr>
          <w:ilvl w:val="0"/>
          <w:numId w:val="4"/>
        </w:numPr>
        <w:spacing w:line="360" w:before="105" w:after="105" w:lineRule="auto"/>
      </w:pPr>
      <w:r>
        <w:rPr>
          <w:rFonts w:eastAsia="source serif 4" w:cs="source serif 4" w:ascii="source serif 4" w:hAnsi="source serif 4"/>
          <w:b/>
          <w:color w:val="000000"/>
          <w:sz w:val="21"/>
        </w:rPr>
        <w:t xml:space="preserve">Consequence over extension:</w:t>
      </w:r>
      <w:r>
        <w:rPr>
          <w:rFonts w:eastAsia="source serif 4" w:cs="source serif 4" w:ascii="source serif 4" w:hAnsi="source serif 4"/>
          <w:color w:val="000000"/>
          <w:sz w:val="21"/>
        </w:rPr>
        <w:t xml:space="preserve"> An edit to this constitution, an authorization policy, a test selector, or a security gate is not Tier 0 because it is Markdown/YAML.</w:t>
      </w:r>
    </w:p>
    <w:p>
      <w:pPr>
        <w:numPr>
          <w:ilvl w:val="0"/>
          <w:numId w:val="4"/>
        </w:numPr>
        <w:spacing w:line="360" w:before="105" w:after="105" w:lineRule="auto"/>
      </w:pPr>
      <w:r>
        <w:rPr>
          <w:rFonts w:eastAsia="source serif 4" w:cs="source serif 4" w:ascii="source serif 4" w:hAnsi="source serif 4"/>
          <w:b/>
          <w:color w:val="000000"/>
          <w:sz w:val="21"/>
        </w:rPr>
        <w:t xml:space="preserve">Cumulative effect:</w:t>
      </w:r>
      <w:r>
        <w:rPr>
          <w:rFonts w:eastAsia="source serif 4" w:cs="source serif 4" w:ascii="source serif 4" w:hAnsi="source serif 4"/>
          <w:color w:val="000000"/>
          <w:sz w:val="21"/>
        </w:rPr>
        <w:t xml:space="preserve"> Evaluate the assembled feature and dependency stack. Splitting 2,000 consequential lines into six PRs does not make the change low risk.</w:t>
      </w:r>
    </w:p>
    <w:p>
      <w:pPr>
        <w:numPr>
          <w:ilvl w:val="0"/>
          <w:numId w:val="4"/>
        </w:numPr>
        <w:spacing w:line="360" w:before="105" w:after="105" w:lineRule="auto"/>
      </w:pPr>
      <w:r>
        <w:rPr>
          <w:rFonts w:eastAsia="source serif 4" w:cs="source serif 4" w:ascii="source serif 4" w:hAnsi="source serif 4"/>
          <w:b/>
          <w:color w:val="000000"/>
          <w:sz w:val="21"/>
        </w:rPr>
        <w:t xml:space="preserve">Trusted floor plus semantic decision:</w:t>
      </w:r>
      <w:r>
        <w:rPr>
          <w:rFonts w:eastAsia="source serif 4" w:cs="source serif 4" w:ascii="source serif 4" w:hAnsi="source serif 4"/>
          <w:color w:val="000000"/>
          <w:sz w:val="21"/>
        </w:rPr>
        <w:t xml:space="preserve"> Automation proposes a minimum from affected surfaces. The owner states the actual consequence in a short rationale; independent authorization is required to downgrade it.</w:t>
      </w:r>
    </w:p>
    <w:p>
      <w:pPr>
        <w:numPr>
          <w:ilvl w:val="0"/>
          <w:numId w:val="4"/>
        </w:numPr>
        <w:spacing w:line="360" w:before="105" w:after="105" w:lineRule="auto"/>
      </w:pPr>
      <w:r>
        <w:rPr>
          <w:rFonts w:eastAsia="source serif 4" w:cs="source serif 4" w:ascii="source serif 4" w:hAnsi="source serif 4"/>
          <w:b/>
          <w:color w:val="000000"/>
          <w:sz w:val="21"/>
        </w:rPr>
        <w:t xml:space="preserve">Tests inherit what they can undermine:</w:t>
      </w:r>
      <w:r>
        <w:rPr>
          <w:rFonts w:eastAsia="source serif 4" w:cs="source serif 4" w:ascii="source serif 4" w:hAnsi="source serif 4"/>
          <w:color w:val="000000"/>
          <w:sz w:val="21"/>
        </w:rPr>
        <w:t xml:space="preserve"> Weakening the evidence for a security boundary is a security-enforcement change, not “test-only.”</w:t>
      </w:r>
    </w:p>
    <w:p>
      <w:pPr>
        <w:numPr>
          <w:ilvl w:val="0"/>
          <w:numId w:val="4"/>
        </w:numPr>
        <w:spacing w:line="360" w:before="105" w:after="105" w:lineRule="auto"/>
      </w:pPr>
      <w:r>
        <w:rPr>
          <w:rFonts w:eastAsia="source serif 4" w:cs="source serif 4" w:ascii="source serif 4" w:hAnsi="source serif 4"/>
          <w:b/>
          <w:color w:val="000000"/>
          <w:sz w:val="21"/>
        </w:rPr>
        <w:t xml:space="preserve">Unknown is not low:</w:t>
      </w:r>
      <w:r>
        <w:rPr>
          <w:rFonts w:eastAsia="source serif 4" w:cs="source serif 4" w:ascii="source serif 4" w:hAnsi="source serif 4"/>
          <w:color w:val="000000"/>
          <w:sz w:val="21"/>
        </w:rPr>
        <w:t xml:space="preserve"> Classify conservatively until the uncertainty is bounded. This is a temporary decision with a concrete question to resolve, not a permanent high-tier label for everything.</w:t>
      </w:r>
    </w:p>
    <w:p>
      <w:pPr>
        <w:numPr>
          <w:ilvl w:val="0"/>
          <w:numId w:val="4"/>
        </w:numPr>
        <w:spacing w:line="360" w:before="105" w:after="105" w:lineRule="auto"/>
      </w:pPr>
      <w:r>
        <w:rPr>
          <w:rFonts w:eastAsia="source serif 4" w:cs="source serif 4" w:ascii="source serif 4" w:hAnsi="source serif 4"/>
          <w:b/>
          <w:color w:val="000000"/>
          <w:sz w:val="21"/>
        </w:rPr>
        <w:t xml:space="preserve">Reversibility is more than code rollback:</w:t>
      </w:r>
      <w:r>
        <w:rPr>
          <w:rFonts w:eastAsia="source serif 4" w:cs="source serif 4" w:ascii="source serif 4" w:hAnsi="source serif 4"/>
          <w:color w:val="000000"/>
          <w:sz w:val="21"/>
        </w:rPr>
        <w:t xml:space="preserve"> A reverted commit cannot undo leaked PII, a charge, a deleted record, or a notification already sent.</w:t>
      </w:r>
    </w:p>
    <w:p>
      <w:pPr>
        <w:spacing w:line="360" w:after="210" w:lineRule="auto"/>
      </w:pPr>
      <w:r>
        <w:rPr>
          <w:rFonts w:eastAsia="source serif 4" w:cs="source serif 4" w:ascii="source serif 4" w:hAnsi="source serif 4"/>
          <w:color w:val="000000"/>
        </w:rPr>
        <w:t xml:space="preserve">A truly cosmetic edit in a sensitive file can still be trivial if the trusted classification process proves it has no semantic or evidence effect. Conversely, a small shared helper can be Tier 3 or Tier 4. File paths are conservative signals, not the complete risk model.</w:t>
      </w:r>
    </w:p>
    <w:p>
      <w:pPr>
        <w:spacing w:line="360" w:before="315" w:after="105" w:lineRule="auto"/>
        <w:ind w:left="-30"/>
        <w:jc w:val="left"/>
      </w:pPr>
      <w:bookmarkStart w:id="13" w:name="evidence_reuse_without_stale_approval"/>
      <w:r>
        <w:rPr>
          <w:rFonts w:eastAsia="source serif 4" w:cs="source serif 4" w:ascii="source serif 4" w:hAnsi="source serif 4"/>
          <w:b/>
          <w:color w:val="000000"/>
          <w:sz w:val="24"/>
        </w:rPr>
        <w:t xml:space="preserve">Evidence reuse without stale approval</w:t>
      </w:r>
      <w:bookmarkEnd w:id="13"/>
    </w:p>
    <w:p>
      <w:pPr>
        <w:spacing w:line="360" w:after="210" w:lineRule="auto"/>
      </w:pPr>
      <w:r>
        <w:rPr>
          <w:rFonts w:eastAsia="source serif 4" w:cs="source serif 4" w:ascii="source serif 4" w:hAnsi="source serif 4"/>
          <w:color w:val="000000"/>
        </w:rPr>
        <w:t xml:space="preserve">Use an evidence applicability key containing the repository, base/head or tested composition, relevant dependency/toolchain/configuration/policy inputs, and the check's affected scope. Reuse evidence only where those inputs remain valid. Environment-sensitive and time-sensitive evidence also needs an explicit freshness bound.</w:t>
      </w:r>
    </w:p>
    <w:p>
      <w:pPr>
        <w:spacing w:line="360" w:after="210" w:lineRule="auto"/>
      </w:pPr>
      <w:r>
        <w:rPr>
          <w:rFonts w:eastAsia="source serif 4" w:cs="source serif 4" w:ascii="source serif 4" w:hAnsi="source serif 4"/>
          <w:color w:val="000000"/>
        </w:rPr>
        <w:t xml:space="preserve">On a changed head, reassess affected evidence and issue a new head-bound attestation. Auditors may review the delta and relevant interactions rather than restart the entire audit; Tier 4 still needs both independent final-head attestations and closure verification. A changed deployment manifest, test harness, dependency graph, migration, or trust boundary is material even when application code barely changes.</w:t>
      </w:r>
    </w:p>
    <w:p>
      <w:pPr>
        <w:spacing w:line="360" w:after="210" w:lineRule="auto"/>
      </w:pPr>
      <w:r>
        <w:rPr>
          <w:rFonts w:eastAsia="source serif 4" w:cs="source serif 4" w:ascii="source serif 4" w:hAnsi="source serif 4"/>
          <w:color w:val="000000"/>
        </w:rPr>
        <w:t xml:space="preserve">Do not hash everything. Git object identities already identify repository content; explicit hashes add value for build artifacts, downloaded evidence, and other objects outside that immutable source boundary.</w:t>
      </w:r>
    </w:p>
    <w:p>
      <w:pPr>
        <w:spacing w:line="360" w:before="315" w:after="105" w:lineRule="auto"/>
        <w:ind w:left="-30"/>
        <w:jc w:val="left"/>
      </w:pPr>
      <w:bookmarkStart w:id="14" w:name="finding_policy_applied_to_real_tg_29a130"/>
      <w:r>
        <w:rPr>
          <w:rFonts w:eastAsia="source serif 4" w:cs="source serif 4" w:ascii="source serif 4" w:hAnsi="source serif 4"/>
          <w:b/>
          <w:color w:val="000000"/>
          <w:sz w:val="24"/>
        </w:rPr>
        <w:t xml:space="preserve">Finding policy applied to real TGP examples</w:t>
      </w:r>
      <w:bookmarkEnd w:id="14"/>
    </w:p>
    <w:p>
      <w:pPr>
        <w:spacing w:line="360" w:after="210" w:lineRule="auto"/>
      </w:pPr>
      <w:r>
        <w:rPr>
          <w:rFonts w:eastAsia="source serif 4" w:cs="source serif 4" w:ascii="source serif 4" w:hAnsi="source serif 4"/>
          <w:color w:val="000000"/>
        </w:rPr>
        <w:t xml:space="preserve">The public PR524 audit is useful because it mixes security defects, inherited enforcement gaps, missing evidence, and cosmetic findings in one severity ladder; the proposal separates those dimensions rather than simply declaring P3 nonblocking (</w:t>
      </w:r>
      <w:hyperlink r:id="rId31">
        <w:r>
          <w:rPr>
            <w:rFonts w:eastAsia="source sans 3" w:cs="source sans 3" w:ascii="source sans 3" w:hAnsi="source sans 3"/>
            <w:color w:val="#000"/>
            <w:u w:val="single"/>
          </w:rPr>
          <w:t xml:space="preserve">Lens A report</w:t>
        </w:r>
      </w:hyperlink>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Example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Proposed disposition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F01 unprotected main; F02 deploy bypass; F03 absent required secret scanning; F05 fail-open analysis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Material enforcement gaps. Preserve applicable blocks until real enforcement is established; do not close by editing the doctrine (</w:t>
            </w:r>
            <w:hyperlink r:id="rId32">
              <w:r>
                <w:rPr>
                  <w:rFonts w:eastAsia="source sans 3" w:cs="source sans 3" w:ascii="source sans 3" w:hAnsi="source sans 3"/>
                  <w:color w:val="#000"/>
                  <w:sz w:val="17"/>
                  <w:u w:val="single"/>
                </w:rPr>
                <w:t xml:space="preserve">audit</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F16 missing universal three-enforcer ledger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Delete the universal ledger mandate. Track actual missing controls and consequences, not a P1 merely for lacking the prescribed document (</w:t>
            </w:r>
            <w:hyperlink r:id="rId33">
              <w:r>
                <w:rPr>
                  <w:rFonts w:eastAsia="source sans 3" w:cs="source sans 3" w:ascii="source sans 3" w:hAnsi="source sans 3"/>
                  <w:color w:val="#000"/>
                  <w:sz w:val="17"/>
                  <w:u w:val="single"/>
                </w:rPr>
                <w:t xml:space="preserve">F16</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F17 unverified restore evidence and dispatch prediction compliance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Split the finding. Restore assurance remains a real data/release concern; missing speculative per-dispatch predictions should not block product code (</w:t>
            </w:r>
            <w:hyperlink r:id="rId34">
              <w:r>
                <w:rPr>
                  <w:rFonts w:eastAsia="source sans 3" w:cs="source sans 3" w:ascii="source sans 3" w:hAnsi="source sans 3"/>
                  <w:color w:val="#000"/>
                  <w:sz w:val="17"/>
                  <w:u w:val="single"/>
                </w:rPr>
                <w:t xml:space="preserve">F17</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F18 public readiness error details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Treat as a potential security/privacy disclosure, not a cosmetic readiness-board problem (</w:t>
            </w:r>
            <w:hyperlink r:id="rId35">
              <w:r>
                <w:rPr>
                  <w:rFonts w:eastAsia="source sans 3" w:cs="source sans 3" w:ascii="source sans 3" w:hAnsi="source sans 3"/>
                  <w:color w:val="#000"/>
                  <w:sz w:val="17"/>
                  <w:u w:val="single"/>
                </w:rPr>
                <w:t xml:space="preserve">F18</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F19 ESM proof gap; F20 prototype-pollution assertion on benign input, both labeled P3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Material when used to support those acceptance claims. Improve the proof or narrow the claim; do not waive because of the P3 label (</w:t>
            </w:r>
            <w:hyperlink r:id="rId36">
              <w:r>
                <w:rPr>
                  <w:rFonts w:eastAsia="source sans 3" w:cs="source sans 3" w:ascii="source sans 3" w:hAnsi="source sans 3"/>
                  <w:color w:val="#000"/>
                  <w:sz w:val="17"/>
                  <w:u w:val="single"/>
                </w:rPr>
                <w:t xml:space="preserve">F19–F20</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F21 retained temporary fixtures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Assess actual resource and reliability consequences. Usually cheap cleanup, not automatically either a blocker or harmless (</w:t>
            </w:r>
            <w:hyperlink r:id="rId37">
              <w:r>
                <w:rPr>
                  <w:rFonts w:eastAsia="source sans 3" w:cs="source sans 3" w:ascii="source sans 3" w:hAnsi="source sans 3"/>
                  <w:color w:val="#000"/>
                  <w:sz w:val="17"/>
                  <w:u w:val="single"/>
                </w:rPr>
                <w:t xml:space="preserve">F21</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F22 stale internal dependency-version comment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Fix cheaply or during ordinary cleanup; no standalone audit/fix/re-audit loop (</w:t>
            </w:r>
            <w:hyperlink r:id="rId38">
              <w:r>
                <w:rPr>
                  <w:rFonts w:eastAsia="source sans 3" w:cs="source sans 3" w:ascii="source sans 3" w:hAnsi="source sans 3"/>
                  <w:color w:val="#000"/>
                  <w:sz w:val="17"/>
                  <w:u w:val="single"/>
                </w:rPr>
                <w:t xml:space="preserve">F22</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Op75 dunning guard lockout copy stripped by an exception filter, labeled P3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customer-facing recovery defect, not just aesthetics; assess the billing/auth workflow consequence (</w:t>
            </w:r>
            <w:hyperlink r:id="rId39">
              <w:r>
                <w:rPr>
                  <w:rFonts w:eastAsia="source sans 3" w:cs="source sans 3" w:ascii="source sans 3" w:hAnsi="source sans 3"/>
                  <w:color w:val="#000"/>
                  <w:sz w:val="17"/>
                  <w:u w:val="single"/>
                </w:rPr>
                <w:t xml:space="preserve">Op75 pre-build review</w:t>
              </w:r>
            </w:hyperlink>
            <w:r>
              <w:rPr>
                <w:rFonts w:eastAsia="source sans 3" w:cs="source sans 3" w:ascii="source sans 3" w:hAnsi="source sans 3"/>
                <w:color w:val="000000"/>
                <w:sz w:val="17"/>
              </w:rPr>
              <w:t xml:space="preserve">).</w:t>
            </w:r>
          </w:p>
        </w:tc>
      </w:tr>
    </w:tbl>
    <w:p>
      <w:pPr>
        <w:spacing w:lineRule="auto"/>
      </w:pPr>
    </w:p>
    <w:p>
      <w:pPr>
        <w:spacing w:line="360" w:after="210" w:lineRule="auto"/>
      </w:pPr>
      <w:r>
        <w:rPr>
          <w:rFonts w:eastAsia="source serif 4" w:cs="source serif 4" w:ascii="source serif 4" w:hAnsi="source serif 4"/>
          <w:color w:val="000000"/>
        </w:rPr>
        <w:t xml:space="preserve">Each finding should distinguish consequence, affected scope, introduced versus inherited, and evidence status. A known inherited security gap does not have to be rewritten on every PR, but cannot be ignored when the PR deploys through that gap. A pure documentation omission does not become material solely because old doctrine called it P1.</w:t>
      </w:r>
    </w:p>
    <w:p>
      <w:pPr>
        <w:spacing w:line="360" w:before="315" w:after="105" w:lineRule="auto"/>
        <w:ind w:left="-30"/>
        <w:jc w:val="left"/>
      </w:pPr>
      <w:bookmarkStart w:id="15" w:name="automation_and_transition_gates"/>
      <w:r>
        <w:rPr>
          <w:rFonts w:eastAsia="source serif 4" w:cs="source serif 4" w:ascii="source serif 4" w:hAnsi="source serif 4"/>
          <w:b/>
          <w:color w:val="000000"/>
          <w:sz w:val="24"/>
        </w:rPr>
        <w:t xml:space="preserve">Automation and transition gates</w:t>
      </w:r>
      <w:bookmarkEnd w:id="15"/>
    </w:p>
    <w:p>
      <w:pPr>
        <w:spacing w:line="360" w:before="315" w:after="105" w:lineRule="auto"/>
        <w:ind w:left="-30"/>
        <w:jc w:val="left"/>
      </w:pPr>
      <w:bookmarkStart w:id="16" w:name="prove_enforcement_not_merely_impl_df4531"/>
      <w:r>
        <w:rPr>
          <w:rFonts w:eastAsia="source serif 4" w:cs="source serif 4" w:ascii="source serif 4" w:hAnsi="source serif 4"/>
          <w:b/>
          <w:color w:val="000000"/>
          <w:sz w:val="24"/>
        </w:rPr>
        <w:t xml:space="preserve">Prove enforcement, not merely implementation</w:t>
      </w:r>
      <w:bookmarkEnd w:id="16"/>
    </w:p>
    <w:p>
      <w:pPr>
        <w:spacing w:line="360" w:after="210" w:lineRule="auto"/>
      </w:pPr>
      <w:r>
        <w:rPr>
          <w:rFonts w:eastAsia="source serif 4" w:cs="source serif 4" w:ascii="source serif 4" w:hAnsi="source serif 4"/>
          <w:color w:val="000000"/>
        </w:rPr>
        <w:t xml:space="preserve">For each protection being replaced, require evidence that the control exists, ran against the intended source, rejects a representative bad case, is required at the actual action boundary, and cannot be weakened by the candidate it evaluates. Missing permissions, skipped jobs, stale artifacts, changed test selectors, alternate write paths, and administrator bypass are part of that proof.</w:t>
      </w:r>
    </w:p>
    <w:p>
      <w:pPr>
        <w:spacing w:line="360" w:after="210" w:lineRule="auto"/>
      </w:pPr>
      <w:r>
        <w:rPr>
          <w:rFonts w:eastAsia="source serif 4" w:cs="source serif 4" w:ascii="source serif 4" w:hAnsi="source serif 4"/>
          <w:color w:val="000000"/>
        </w:rPr>
        <w:t xml:space="preserve">The capabilities below should reuse CI, repository rules, existing tests, and small versioned records. They are not a proposal for eleven new services, eleven recurring forms, or a second orchestration platform.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Deterministic mechanism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Protection that can shrink after proof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Current evidence / prerequisite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Trusted authorization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Protected branches, required statuses, approved merge principal, policy from a trusted revision; separate approval of enforcement changes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Manual “is every gate really enforced?” reconstruction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Backend/mobile/context protection gap; identity route must be resolved (</w:t>
            </w:r>
            <w:hyperlink r:id="rId40">
              <w:r>
                <w:rPr>
                  <w:rFonts w:eastAsia="source sans 3" w:cs="source sans 3" w:ascii="source sans 3" w:hAnsi="source sans 3"/>
                  <w:color w:val="#000"/>
                  <w:sz w:val="17"/>
                  <w:u w:val="single"/>
                </w:rPr>
                <w:t xml:space="preserve">branch state</w:t>
              </w:r>
            </w:hyperlink>
            <w:r>
              <w:rPr>
                <w:rFonts w:eastAsia="source sans 3" w:cs="source sans 3" w:ascii="source sans 3" w:hAnsi="source sans 3"/>
                <w:color w:val="000000"/>
                <w:sz w:val="17"/>
              </w:rPr>
              <w:t xml:space="preserve">, </w:t>
            </w:r>
            <w:hyperlink r:id="rId41">
              <w:r>
                <w:rPr>
                  <w:rFonts w:eastAsia="source sans 3" w:cs="source sans 3" w:ascii="source sans 3" w:hAnsi="source sans 3"/>
                  <w:color w:val="#000"/>
                  <w:sz w:val="17"/>
                  <w:u w:val="single"/>
                </w:rPr>
                <w:t xml:space="preserve">merge runbook</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Identity and 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Validate landed author/committer, actual signature status if required, base/head relationship, source/evidence identities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Repeated manual identity/hash prose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Existing strict identity rule and direct-push runbook conflict with required-PR protection (</w:t>
            </w:r>
            <w:hyperlink r:id="rId42">
              <w:r>
                <w:rPr>
                  <w:rFonts w:eastAsia="source sans 3" w:cs="source sans 3" w:ascii="source sans 3" w:hAnsi="source sans 3"/>
                  <w:color w:val="#000"/>
                  <w:sz w:val="17"/>
                  <w:u w:val="single"/>
                </w:rPr>
                <w:t xml:space="preserve">R3 runbook</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Quality execution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 lint/type/build/tests, test discovery/assertion checks, coverage policy, meaningful failure signals, affected-input selection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Duplicate local/CI certification and mechanical audit recounting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Current gate has title-based LOC/test exemptions and incomplete token scope; do not assume those titles are authorized waivers (</w:t>
            </w:r>
            <w:hyperlink r:id="rId43">
              <w:r>
                <w:rPr>
                  <w:rFonts w:eastAsia="source sans 3" w:cs="source sans 3" w:ascii="source sans 3" w:hAnsi="source sans 3"/>
                  <w:color w:val="#000"/>
                  <w:sz w:val="17"/>
                  <w:u w:val="single"/>
                </w:rPr>
                <w:t xml:space="preserve">quality gate</w:t>
              </w:r>
            </w:hyperlink>
            <w:r>
              <w:rPr>
                <w:rFonts w:eastAsia="source sans 3" w:cs="source sans 3" w:ascii="source sans 3" w:hAnsi="source sans 3"/>
                <w:color w:val="000000"/>
                <w:sz w:val="17"/>
              </w:rPr>
              <w:t xml:space="preserve">, </w:t>
            </w:r>
            <w:hyperlink r:id="rId44">
              <w:r>
                <w:rPr>
                  <w:rFonts w:eastAsia="source sans 3" w:cs="source sans 3" w:ascii="source sans 3" w:hAnsi="source sans 3"/>
                  <w:color w:val="#000"/>
                  <w:sz w:val="17"/>
                  <w:u w:val="single"/>
                </w:rPr>
                <w:t xml:space="preserve">audit F08–F09/F14–F15</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Security execution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 secret scan, SCA, effective SAST, IaC/artifact checks where relevant; analyzer-completion and result-severity checks separately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Manual verification of scanner presence and simple prohibited syntax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Public audit documents gaps; CodeQL must fail closed. One effective required SAST is preferable to two nominal ones (</w:t>
            </w:r>
            <w:hyperlink r:id="rId45">
              <w:r>
                <w:rPr>
                  <w:rFonts w:eastAsia="source sans 3" w:cs="source sans 3" w:ascii="source sans 3" w:hAnsi="source sans 3"/>
                  <w:color w:val="#000"/>
                  <w:sz w:val="17"/>
                  <w:u w:val="single"/>
                </w:rPr>
                <w:t xml:space="preserve">audit F03–F05/F10</w:t>
              </w:r>
            </w:hyperlink>
            <w:r>
              <w:rPr>
                <w:rFonts w:eastAsia="source sans 3" w:cs="source sans 3" w:ascii="source sans 3" w:hAnsi="source sans 3"/>
                <w:color w:val="000000"/>
                <w:sz w:val="17"/>
              </w:rPr>
              <w:t xml:space="preserve">, </w:t>
            </w:r>
            <w:hyperlink r:id="rId46">
              <w:r>
                <w:rPr>
                  <w:rFonts w:eastAsia="source sans 3" w:cs="source sans 3" w:ascii="source sans 3" w:hAnsi="source sans 3"/>
                  <w:color w:val="#000"/>
                  <w:sz w:val="17"/>
                  <w:u w:val="single"/>
                </w:rPr>
                <w:t xml:space="preserve">workflow</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Contract/configuration coherence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Generated-contract diff, consumer compatibility tests, schema-checked events/env vars, safe defaults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Manual pin/table recounting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Keep contract and registry intent; replace dangerous unset-switch auto-enablement in R108 (</w:t>
            </w:r>
            <w:hyperlink r:id="rId47">
              <w:r>
                <w:rPr>
                  <w:rFonts w:eastAsia="source sans 3" w:cs="source sans 3" w:ascii="source sans 3" w:hAnsi="source sans 3"/>
                  <w:color w:val="#000"/>
                  <w:sz w:val="17"/>
                  <w:u w:val="single"/>
                </w:rPr>
                <w:t xml:space="preserve">R80/R84/R108</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Data/tenant validation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RLS/permission negative tests, cross-tenant checks, populated migration rehearsal, compatibility and recovery tests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Repeated mechanical SQL/config inspection, not security judgment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Some RLS checks succeed on PR524, which is not proof of all tenant paths or future migrations (</w:t>
            </w:r>
            <w:hyperlink r:id="rId48">
              <w:r>
                <w:rPr>
                  <w:rFonts w:eastAsia="source sans 3" w:cs="source sans 3" w:ascii="source sans 3" w:hAnsi="source sans 3"/>
                  <w:color w:val="#000"/>
                  <w:sz w:val="17"/>
                  <w:u w:val="single"/>
                </w:rPr>
                <w:t xml:space="preserve">PR524 checks</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Artifact provenance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Reproducible production graph, build digest/SHA, release SBOM, production-content checks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Rehashing source prose and ad hoc dependency inventories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Public audit reports production dev-content and SBOM concerns; SBOM workflow is not a PR gate (</w:t>
            </w:r>
            <w:hyperlink r:id="rId49">
              <w:r>
                <w:rPr>
                  <w:rFonts w:eastAsia="source sans 3" w:cs="source sans 3" w:ascii="source sans 3" w:hAnsi="source sans 3"/>
                  <w:color w:val="#000"/>
                  <w:sz w:val="17"/>
                  <w:u w:val="single"/>
                </w:rPr>
                <w:t xml:space="preserve">audit F06/F11/F12</w:t>
              </w:r>
            </w:hyperlink>
            <w:r>
              <w:rPr>
                <w:rFonts w:eastAsia="source sans 3" w:cs="source sans 3" w:ascii="source sans 3" w:hAnsi="source sans 3"/>
                <w:color w:val="000000"/>
                <w:sz w:val="17"/>
              </w:rPr>
              <w:t xml:space="preserve">, </w:t>
            </w:r>
            <w:hyperlink r:id="rId50">
              <w:r>
                <w:rPr>
                  <w:rFonts w:eastAsia="source sans 3" w:cs="source sans 3" w:ascii="source sans 3" w:hAnsi="source sans 3"/>
                  <w:color w:val="#000"/>
                  <w:sz w:val="17"/>
                  <w:u w:val="single"/>
                </w:rPr>
                <w:t xml:space="preserve">SBOM workflow</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Ownership and recovery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Branch/worktree ownership, short-lived write lease where needed, durable checkpoints, stale-owner detection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Global zombie sweeps, minute-by-minute narrative pings, pushes with no meaningful work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Historical lost-work/recovery lessons remain; recovery source and validation must be separately recorded (</w:t>
            </w:r>
            <w:hyperlink r:id="rId51">
              <w:r>
                <w:rPr>
                  <w:rFonts w:eastAsia="source sans 3" w:cs="source sans 3" w:ascii="source sans 3" w:hAnsi="source sans 3"/>
                  <w:color w:val="#000"/>
                  <w:sz w:val="17"/>
                  <w:u w:val="single"/>
                </w:rPr>
                <w:t xml:space="preserve">manifest</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Review/finding state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Trusted tier requirement, authenticated independent review references, stable finding IDs, final-head closure, schema validation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Magic verdict strings, duplicate audit tables and blanket re-audits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newest checkpoint has unresolved findings and unavailable private detail, not clearance (</w:t>
            </w:r>
            <w:hyperlink r:id="rId52">
              <w:r>
                <w:rPr>
                  <w:rFonts w:eastAsia="source sans 3" w:cs="source sans 3" w:ascii="source sans 3" w:hAnsi="source sans 3"/>
                  <w:color w:val="#000"/>
                  <w:sz w:val="17"/>
                  <w:u w:val="single"/>
                </w:rPr>
                <w:t xml:space="preserve">checkpoint</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Deployment/release authorization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Exact release manifest; required integration/product/security evidence; environment approval and nonbypassable deploy dependency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Forcing every PR to recreate all production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Current main-push deploy coupling must be fixed or its release prerequisites retained at merge (</w:t>
            </w:r>
            <w:hyperlink r:id="rId53">
              <w:r>
                <w:rPr>
                  <w:rFonts w:eastAsia="source sans 3" w:cs="source sans 3" w:ascii="source sans 3" w:hAnsi="source sans 3"/>
                  <w:color w:val="#000"/>
                  <w:sz w:val="17"/>
                  <w:u w:val="single"/>
                </w:rPr>
                <w:t xml:space="preserve">deploy workflow</w:t>
              </w:r>
            </w:hyperlink>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Generated current 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Query facts at their owners, schema-check semantic state, timestamp/provenance, stale/unknown detection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Re-reading enormous histories and hand-maintaining contradictory status prose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Current JSON is oversized and stale; current Op81 execution evidence lives elsewhere (</w:t>
            </w:r>
            <w:hyperlink r:id="rId54">
              <w:r>
                <w:rPr>
                  <w:rFonts w:eastAsia="source sans 3" w:cs="source sans 3" w:ascii="source sans 3" w:hAnsi="source sans 3"/>
                  <w:color w:val="#000"/>
                  <w:sz w:val="17"/>
                  <w:u w:val="single"/>
                </w:rPr>
                <w:t xml:space="preserve">older state</w:t>
              </w:r>
            </w:hyperlink>
            <w:r>
              <w:rPr>
                <w:rFonts w:eastAsia="source sans 3" w:cs="source sans 3" w:ascii="source sans 3" w:hAnsi="source sans 3"/>
                <w:color w:val="000000"/>
                <w:sz w:val="17"/>
              </w:rPr>
              <w:t xml:space="preserve">).</w:t>
            </w:r>
          </w:p>
        </w:tc>
      </w:tr>
    </w:tbl>
    <w:p>
      <w:pPr>
        <w:spacing w:lineRule="auto"/>
      </w:pPr>
    </w:p>
    <w:p>
      <w:pPr>
        <w:spacing w:line="360" w:before="315" w:after="105" w:lineRule="auto"/>
        <w:ind w:left="-30"/>
        <w:jc w:val="left"/>
      </w:pPr>
      <w:bookmarkStart w:id="17" w:name="negative_tests_for_the_minimum_tr_b63bd5"/>
      <w:r>
        <w:rPr>
          <w:rFonts w:eastAsia="source serif 4" w:cs="source serif 4" w:ascii="source serif 4" w:hAnsi="source serif 4"/>
          <w:b/>
          <w:color w:val="000000"/>
          <w:sz w:val="24"/>
        </w:rPr>
        <w:t xml:space="preserve">Negative tests for the minimum trusted path</w:t>
      </w:r>
      <w:bookmarkEnd w:id="17"/>
    </w:p>
    <w:p>
      <w:pPr>
        <w:spacing w:line="360" w:after="210" w:lineRule="auto"/>
      </w:pPr>
      <w:r>
        <w:rPr>
          <w:rFonts w:eastAsia="source serif 4" w:cs="source serif 4" w:ascii="source serif 4" w:hAnsi="source serif 4"/>
          <w:color w:val="000000"/>
        </w:rPr>
        <w:t xml:space="preserve">Before activating reduced-review tiers, demonstrate that: an unapproved direct push fails; a changed or absent required workflow cannot approve itself; scanner error is not green; a skipped required test set is not green; a stale audit on a different relevant head does not satisfy review; an author cannot self-downgrade a critical change; an unresolved material finding blocks the affected authorization; and a main merge cannot bypass release prerequisites.</w:t>
      </w:r>
    </w:p>
    <w:p>
      <w:pPr>
        <w:spacing w:line="360" w:after="210" w:lineRule="auto"/>
      </w:pPr>
      <w:r>
        <w:rPr>
          <w:rFonts w:eastAsia="source serif 4" w:cs="source serif 4" w:ascii="source serif 4" w:hAnsi="source serif 4"/>
          <w:color w:val="000000"/>
        </w:rPr>
        <w:t xml:space="preserve">Also verify that the identity policy works on the commit actually landed, that a second credential for the same principal is not counted as independent approval, and that evidence references cannot be silently overwritten. These are acceptance tests for a small trusted mechanism, not invitations to build a general agent-governance framework.</w:t>
      </w:r>
    </w:p>
    <w:p>
      <w:pPr>
        <w:spacing w:line="360" w:before="315" w:after="105" w:lineRule="auto"/>
        <w:ind w:left="-30"/>
        <w:jc w:val="left"/>
      </w:pPr>
      <w:bookmarkStart w:id="18" w:name="adopt_in_increments_without_a_bur_4fa8cd"/>
      <w:r>
        <w:rPr>
          <w:rFonts w:eastAsia="source serif 4" w:cs="source serif 4" w:ascii="source serif 4" w:hAnsi="source serif 4"/>
          <w:b/>
          <w:color w:val="000000"/>
          <w:sz w:val="24"/>
        </w:rPr>
        <w:t xml:space="preserve">Adopt in increments, without a bureaucracy migration project</w:t>
      </w:r>
      <w:bookmarkEnd w:id="18"/>
    </w:p>
    <w:p>
      <w:pPr>
        <w:numPr>
          <w:ilvl w:val="0"/>
          <w:numId w:val="5"/>
        </w:numPr>
        <w:spacing w:line="360" w:before="105" w:after="105" w:lineRule="auto"/>
      </w:pPr>
      <w:r>
        <w:rPr>
          <w:rFonts w:eastAsia="source serif 4" w:cs="source serif 4" w:ascii="source serif 4" w:hAnsi="source serif 4"/>
          <w:b/>
          <w:color w:val="000000"/>
          <w:sz w:val="21"/>
        </w:rPr>
        <w:t xml:space="preserve">Adopt the semantics:</w:t>
      </w:r>
      <w:r>
        <w:rPr>
          <w:rFonts w:eastAsia="source serif 4" w:cs="source serif 4" w:ascii="source serif 4" w:hAnsi="source serif 4"/>
          <w:color w:val="000000"/>
          <w:sz w:val="21"/>
        </w:rPr>
        <w:t xml:space="preserve"> Approve the shorter constitution and exact precedence. Delete duplicate prose, cosmetic blocking, routine essays, speculative prediction fields, and arbitrary volume mandates. Preserve original doctrine at its existing immutable commit; do not keep both versions active.</w:t>
      </w:r>
    </w:p>
    <w:p>
      <w:pPr>
        <w:numPr>
          <w:ilvl w:val="0"/>
          <w:numId w:val="5"/>
        </w:numPr>
        <w:spacing w:line="360" w:before="105" w:after="105" w:lineRule="auto"/>
      </w:pPr>
      <w:r>
        <w:rPr>
          <w:rFonts w:eastAsia="source serif 4" w:cs="source serif 4" w:ascii="source serif 4" w:hAnsi="source serif 4"/>
          <w:b/>
          <w:color w:val="000000"/>
          <w:sz w:val="21"/>
        </w:rPr>
        <w:t xml:space="preserve">Close the narrow control gaps:</w:t>
      </w:r>
      <w:r>
        <w:rPr>
          <w:rFonts w:eastAsia="source serif 4" w:cs="source serif 4" w:ascii="source serif 4" w:hAnsi="source serif 4"/>
          <w:color w:val="000000"/>
          <w:sz w:val="21"/>
        </w:rPr>
        <w:t xml:space="preserve"> Resolve the merge-identity conflict, enforce protected paths, make required analysis fail closed, and separate deploy authorization from ordinary merges. Reuse useful Op81 work after its actual findings are closed; do not restart it solely because policy wording changes.</w:t>
      </w:r>
    </w:p>
    <w:p>
      <w:pPr>
        <w:numPr>
          <w:ilvl w:val="0"/>
          <w:numId w:val="5"/>
        </w:numPr>
        <w:spacing w:line="360" w:before="105" w:after="105" w:lineRule="auto"/>
      </w:pPr>
      <w:r>
        <w:rPr>
          <w:rFonts w:eastAsia="source serif 4" w:cs="source serif 4" w:ascii="source serif 4" w:hAnsi="source serif 4"/>
          <w:b/>
          <w:color w:val="000000"/>
          <w:sz w:val="21"/>
        </w:rPr>
        <w:t xml:space="preserve">Pilot T0/T1:</w:t>
      </w:r>
      <w:r>
        <w:rPr>
          <w:rFonts w:eastAsia="source serif 4" w:cs="source serif 4" w:ascii="source serif 4" w:hAnsi="source serif 4"/>
          <w:color w:val="000000"/>
          <w:sz w:val="21"/>
        </w:rPr>
        <w:t xml:space="preserve"> Use a bounded set of genuinely low-risk changes under the proven controls. Compare effort and defect outcomes; do not manufacture low-tier examples from security work.</w:t>
      </w:r>
    </w:p>
    <w:p>
      <w:pPr>
        <w:numPr>
          <w:ilvl w:val="0"/>
          <w:numId w:val="5"/>
        </w:numPr>
        <w:spacing w:line="360" w:before="105" w:after="105" w:lineRule="auto"/>
      </w:pPr>
      <w:r>
        <w:rPr>
          <w:rFonts w:eastAsia="source serif 4" w:cs="source serif 4" w:ascii="source serif 4" w:hAnsi="source serif 4"/>
          <w:b/>
          <w:color w:val="000000"/>
          <w:sz w:val="21"/>
        </w:rPr>
        <w:t xml:space="preserve">Activate T2/T3 proportional review:</w:t>
      </w:r>
      <w:r>
        <w:rPr>
          <w:rFonts w:eastAsia="source serif 4" w:cs="source serif 4" w:ascii="source serif 4" w:hAnsi="source serif 4"/>
          <w:color w:val="000000"/>
          <w:sz w:val="21"/>
        </w:rPr>
        <w:t xml:space="preserve"> Introduce one-auditor defaults, explicit escalation, evidence reuse, and delta follow-up once trusted classification and review records work.</w:t>
      </w:r>
    </w:p>
    <w:p>
      <w:pPr>
        <w:numPr>
          <w:ilvl w:val="0"/>
          <w:numId w:val="5"/>
        </w:numPr>
        <w:spacing w:line="360" w:before="105" w:after="105" w:lineRule="auto"/>
      </w:pPr>
      <w:r>
        <w:rPr>
          <w:rFonts w:eastAsia="source serif 4" w:cs="source serif 4" w:ascii="source serif 4" w:hAnsi="source serif 4"/>
          <w:b/>
          <w:color w:val="000000"/>
          <w:sz w:val="21"/>
        </w:rPr>
        <w:t xml:space="preserve">Keep T4/release strong:</w:t>
      </w:r>
      <w:r>
        <w:rPr>
          <w:rFonts w:eastAsia="source serif 4" w:cs="source serif 4" w:ascii="source serif 4" w:hAnsi="source serif 4"/>
          <w:color w:val="000000"/>
          <w:sz w:val="21"/>
        </w:rPr>
        <w:t xml:space="preserve"> Improve evidence transport and remove mechanical duplication, while retaining dual independence, boundary testing, recovery proof, and real product acceptance.</w:t>
      </w:r>
    </w:p>
    <w:p>
      <w:pPr>
        <w:spacing w:line="360" w:after="210" w:lineRule="auto"/>
      </w:pPr>
      <w:r>
        <w:rPr>
          <w:rFonts w:eastAsia="source serif 4" w:cs="source serif 4" w:ascii="source serif 4" w:hAnsi="source serif 4"/>
          <w:color w:val="000000"/>
        </w:rPr>
        <w:t xml:space="preserve">Do not wait for every engineering check in every repository to be perfected before deleting useless forms. Conversely, do not eliminate a manual gap-specific check until its replacement is proven. Temporary controls need an owner and exit condition, not a new universal doctrine.</w:t>
      </w:r>
    </w:p>
    <w:p>
      <w:pPr>
        <w:spacing w:line="360" w:after="210" w:lineRule="auto"/>
      </w:pPr>
      <w:r>
        <w:rPr>
          <w:rFonts w:eastAsia="source serif 4" w:cs="source serif 4" w:ascii="source serif 4" w:hAnsi="source serif 4"/>
          <w:color w:val="000000"/>
        </w:rPr>
        <w:t xml:space="preserve">This substantive change to the governance trust boundary is itself Tier 4 under the proposed model. Before activation, obtain two independent adversarial reviews of the approved replacement and enforcement transition, then explicitly authorize adoption; the current research and draft are not those reviews.</w:t>
      </w:r>
    </w:p>
    <w:p>
      <w:pPr>
        <w:spacing w:line="360" w:before="315" w:after="105" w:lineRule="auto"/>
        <w:ind w:left="-30"/>
        <w:jc w:val="left"/>
      </w:pPr>
      <w:bookmarkStart w:id="19" w:name="decisions_requiring_the_operator"/>
      <w:r>
        <w:rPr>
          <w:rFonts w:eastAsia="source serif 4" w:cs="source serif 4" w:ascii="source serif 4" w:hAnsi="source serif 4"/>
          <w:b/>
          <w:color w:val="000000"/>
          <w:sz w:val="24"/>
        </w:rPr>
        <w:t xml:space="preserve">Decisions requiring the operator</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must not happen silently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Constitutional adoption and precedence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Explicitly replace the old generic process, including R14/R15/R79/R124/R125/R138 and duplicated Op81 PR-packet procedure; retain product gates and real findings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stricter old rule always wins” leaving the refactor ineffective, or treating adoption as product clearance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Identity, signatures, and protected merge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Keep the current dual author/committer mandate until a compatible protected route is demonstrated; evaluate a precreated reviewed candidate versus an explicitly approved service-committer 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Forged review, a second PAT counted as a second person, temporary unprotection, or silently changing the owner identity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tiers and downgrade authority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G06; assign who can authorize downgrades and residual noncritical risk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candidate author self-labeling away mandatory security assurance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Material finding taxonomy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consequence-based blocking, preserving all material current findings while retiring cosmetic loops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Bulk closing all P3 or relabeling security findings as inherited paperwork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Numerical policies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Retire 2:1 LOC density and automatic 400-line P1; retain useful coverage/performance/security baselines until calibrated replacements are approved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Removing meaningful test/security budgets together with bad proxies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Security parameters and dependency exceptions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Move JWT/rate-limit/CVE/version/crypto details into owned tested policy; retain applicable existing requirements until a replacement is approved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Quietly waiving vulnerabilities, obsolete crypto, or safety limits because they left the constitution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Durability objective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Choose an acceptable maximum unrecoverable-work window and allowed snapshot/checkpoint mechanism; prefer meaningful checkpointing over ritual pushes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 undefined “checkpoint occasionally” promise, or treating public GitHub as a destination for private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Feature switches and missing product paths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Replace unset-switch auto-enablement with explicit safe defaults; allow approved truthful scope/gating instead of building every missing feature on discovery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Silent feature activation, misleading unavailable flows, or unbounded agent scope expansion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Release and emergency authority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merge/deploy separation and bounded emergency containment with retrospective review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Using “autonomy” as permission for irreversible data actions, spending, security exceptions, or bypassing release safety</w:t>
            </w:r>
          </w:p>
        </w:tc>
      </w:tr>
    </w:tbl>
    <w:p>
      <w:pPr>
        <w:spacing w:lineRule="auto"/>
      </w:pPr>
    </w:p>
    <w:p>
      <w:pPr>
        <w:spacing w:line="360" w:after="210" w:lineRule="auto"/>
      </w:pPr>
      <w:r>
        <w:rPr>
          <w:rFonts w:eastAsia="source serif 4" w:cs="source serif 4" w:ascii="source serif 4" w:hAnsi="source serif 4"/>
          <w:color w:val="000000"/>
        </w:rPr>
        <w:t xml:space="preserve">These choices resolve actual contradictions and hazardous defaults in the current identity, autonomy, readiness, flag, and audit rules rather than merely changing their wording (</w:t>
      </w:r>
      <w:hyperlink r:id="rId55">
        <w:r>
          <w:rPr>
            <w:rFonts w:eastAsia="source sans 3" w:cs="source sans 3" w:ascii="source sans 3" w:hAnsi="source sans 3"/>
            <w:color w:val="#000"/>
            <w:u w:val="single"/>
          </w:rPr>
          <w:t xml:space="preserve">canonical doctrine</w:t>
        </w:r>
      </w:hyperlink>
      <w:r>
        <w:rPr>
          <w:rFonts w:eastAsia="source serif 4" w:cs="source serif 4" w:ascii="source serif 4" w:hAnsi="source serif 4"/>
          <w:color w:val="000000"/>
        </w:rPr>
        <w:t xml:space="preserve">, </w:t>
      </w:r>
      <w:hyperlink r:id="rId56">
        <w:r>
          <w:rPr>
            <w:rFonts w:eastAsia="source sans 3" w:cs="source sans 3" w:ascii="source sans 3" w:hAnsi="source sans 3"/>
            <w:color w:val="#000"/>
            <w:u w:val="single"/>
          </w:rPr>
          <w:t xml:space="preserve">identity runbook</w:t>
        </w:r>
      </w:hyperlink>
      <w:r>
        <w:rPr>
          <w:rFonts w:eastAsia="source serif 4" w:cs="source serif 4" w:ascii="source serif 4" w:hAnsi="source serif 4"/>
          <w:color w:val="000000"/>
        </w:rPr>
        <w:t xml:space="preserve">).</w:t>
      </w:r>
    </w:p>
    <w:p>
      <w:pPr>
        <w:spacing w:line="360" w:before="315" w:after="105" w:lineRule="auto"/>
        <w:ind w:left="-30"/>
        <w:jc w:val="left"/>
      </w:pPr>
      <w:bookmarkStart w:id="20" w:name="preserving_the_current_continuation_plan"/>
      <w:r>
        <w:rPr>
          <w:rFonts w:eastAsia="source serif 4" w:cs="source serif 4" w:ascii="source serif 4" w:hAnsi="source serif 4"/>
          <w:b/>
          <w:color w:val="000000"/>
          <w:sz w:val="24"/>
        </w:rPr>
        <w:t xml:space="preserve">Preserving the current continuation plan</w:t>
      </w:r>
      <w:bookmarkEnd w:id="20"/>
    </w:p>
    <w:p>
      <w:pPr>
        <w:spacing w:line="360" w:after="210" w:lineRule="auto"/>
      </w:pPr>
      <w:r>
        <w:rPr>
          <w:rFonts w:eastAsia="source serif 4" w:cs="source serif 4" w:ascii="source serif 4" w:hAnsi="source serif 4"/>
          <w:color w:val="000000"/>
        </w:rPr>
        <w:t xml:space="preserve">The Op81 plan is plan-level CLEAN, not a product audit verdict; its publication record explicitly prohibits using that result to close the interrupted backend audit (</w:t>
      </w:r>
      <w:hyperlink r:id="rId57">
        <w:r>
          <w:rPr>
            <w:rFonts w:eastAsia="source sans 3" w:cs="source sans 3" w:ascii="source sans 3" w:hAnsi="source sans 3"/>
            <w:color w:val="#000"/>
            <w:u w:val="single"/>
          </w:rPr>
          <w:t xml:space="preserve">plan publication record</w:t>
        </w:r>
      </w:hyperlink>
      <w:r>
        <w:rPr>
          <w:rFonts w:eastAsia="source serif 4" w:cs="source serif 4" w:ascii="source serif 4" w:hAnsi="source serif 4"/>
          <w:color w:val="000000"/>
        </w:rPr>
        <w:t xml:space="preserve">). The refactor should remove generic duplicated procedure, not its substantive product obligations.</w:t>
      </w:r>
    </w:p>
    <w:p>
      <w:pPr>
        <w:spacing w:line="360" w:after="210" w:lineRule="auto"/>
      </w:pPr>
      <w:r>
        <w:rPr>
          <w:rFonts w:eastAsia="source serif 4" w:cs="source serif 4" w:ascii="source serif 4" w:hAnsi="source serif 4"/>
          <w:color w:val="000000"/>
        </w:rPr>
        <w:t xml:space="preserve">Preserve recovery of source and evidence as separate gates; D1/D2 sequencing; identity preservation and revocation; native writes that do not trigger unintended live actions; truthful Stop behavior; hard-denied private destinations; staged data compatibility; and real, nonempty platform journeys within the plan's defined acceptance window (</w:t>
      </w:r>
      <w:hyperlink r:id="rId58">
        <w:r>
          <w:rPr>
            <w:rFonts w:eastAsia="source sans 3" w:cs="source sans 3" w:ascii="source sans 3" w:hAnsi="source sans 3"/>
            <w:color w:val="#000"/>
            <w:u w:val="single"/>
          </w:rPr>
          <w:t xml:space="preserve">continuation plan</w:t>
        </w:r>
      </w:hyperlink>
      <w:r>
        <w:rPr>
          <w:rFonts w:eastAsia="source serif 4" w:cs="source serif 4" w:ascii="source serif 4" w:hAnsi="source serif 4"/>
          <w:color w:val="000000"/>
        </w:rPr>
        <w:t xml:space="preserve">). These are customer, security, and data requirements, not process decoration.</w:t>
      </w:r>
    </w:p>
    <w:p>
      <w:pPr>
        <w:spacing w:line="360" w:after="210" w:lineRule="auto"/>
      </w:pPr>
      <w:r>
        <w:rPr>
          <w:rFonts w:eastAsia="source serif 4" w:cs="source serif 4" w:ascii="source serif 4" w:hAnsi="source serif 4"/>
          <w:color w:val="000000"/>
        </w:rPr>
        <w:t xml:space="preserve">Backend PR522 concerns identity-loss repair, importer PR23 is stacked on PR21, and mobile PR289–PR292 form a dependent stack; review and integration must respect those relationships rather than treating each open PR as an independent merge candidate (</w:t>
      </w:r>
      <w:hyperlink r:id="rId59">
        <w:r>
          <w:rPr>
            <w:rFonts w:eastAsia="source sans 3" w:cs="source sans 3" w:ascii="source sans 3" w:hAnsi="source sans 3"/>
            <w:color w:val="#000"/>
            <w:u w:val="single"/>
          </w:rPr>
          <w:t xml:space="preserve">backend PR522</w:t>
        </w:r>
      </w:hyperlink>
      <w:r>
        <w:rPr>
          <w:rFonts w:eastAsia="source serif 4" w:cs="source serif 4" w:ascii="source serif 4" w:hAnsi="source serif 4"/>
          <w:color w:val="000000"/>
        </w:rPr>
        <w:t xml:space="preserve">, </w:t>
      </w:r>
      <w:hyperlink r:id="rId60">
        <w:r>
          <w:rPr>
            <w:rFonts w:eastAsia="source sans 3" w:cs="source sans 3" w:ascii="source sans 3" w:hAnsi="source sans 3"/>
            <w:color w:val="#000"/>
            <w:u w:val="single"/>
          </w:rPr>
          <w:t xml:space="preserve">importer PR23</w:t>
        </w:r>
      </w:hyperlink>
      <w:r>
        <w:rPr>
          <w:rFonts w:eastAsia="source serif 4" w:cs="source serif 4" w:ascii="source serif 4" w:hAnsi="source serif 4"/>
          <w:color w:val="000000"/>
        </w:rPr>
        <w:t xml:space="preserve">, </w:t>
      </w:r>
      <w:hyperlink r:id="rId61">
        <w:r>
          <w:rPr>
            <w:rFonts w:eastAsia="source sans 3" w:cs="source sans 3" w:ascii="source sans 3" w:hAnsi="source sans 3"/>
            <w:color w:val="#000"/>
            <w:u w:val="single"/>
          </w:rPr>
          <w:t xml:space="preserve">mobile PR290</w:t>
        </w:r>
      </w:hyperlink>
      <w:r>
        <w:rPr>
          <w:rFonts w:eastAsia="source serif 4" w:cs="source serif 4" w:ascii="source serif 4" w:hAnsi="source serif 4"/>
          <w:color w:val="000000"/>
        </w:rPr>
        <w:t xml:space="preserve">, </w:t>
      </w:r>
      <w:hyperlink r:id="rId62">
        <w:r>
          <w:rPr>
            <w:rFonts w:eastAsia="source sans 3" w:cs="source sans 3" w:ascii="source sans 3" w:hAnsi="source sans 3"/>
            <w:color w:val="#000"/>
            <w:u w:val="single"/>
          </w:rPr>
          <w:t xml:space="preserve">mobile PR291</w:t>
        </w:r>
      </w:hyperlink>
      <w:r>
        <w:rPr>
          <w:rFonts w:eastAsia="source serif 4" w:cs="source serif 4" w:ascii="source serif 4" w:hAnsi="source serif 4"/>
          <w:color w:val="000000"/>
        </w:rPr>
        <w:t xml:space="preserve">, </w:t>
      </w:r>
      <w:hyperlink r:id="rId63">
        <w:r>
          <w:rPr>
            <w:rFonts w:eastAsia="source sans 3" w:cs="source sans 3" w:ascii="source sans 3" w:hAnsi="source sans 3"/>
            <w:color w:val="#000"/>
            <w:u w:val="single"/>
          </w:rPr>
          <w:t xml:space="preserve">mobile PR292</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Do not grandfather PR524, its replacement control work, or any private unresolved security findings into a new “green” state. Reclassify each actual change under the adopted policy, preserve its finding IDs, and request only the additional evidence its risk requires. Current security, identity, state-authority, and enforcement work will often remain Tier 4.</w:t>
      </w:r>
    </w:p>
    <w:p>
      <w:pPr>
        <w:spacing w:line="360" w:before="315" w:after="105" w:lineRule="auto"/>
        <w:ind w:left="-30"/>
        <w:jc w:val="left"/>
      </w:pPr>
      <w:bookmarkStart w:id="21" w:name="risks_and_safeguards"/>
      <w:r>
        <w:rPr>
          <w:rFonts w:eastAsia="source serif 4" w:cs="source serif 4" w:ascii="source serif 4" w:hAnsi="source serif 4"/>
          <w:b/>
          <w:color w:val="000000"/>
          <w:sz w:val="24"/>
        </w:rPr>
        <w:t xml:space="preserve">Risks and safeguards</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Simplification risk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Safeguard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 of failure to watch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 manipulation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Trusted floors, semantic rationale, independent downgrades, cumulative feature classification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Low-tier changes repeatedly touching consequential behavior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Fewer auditors miss a defect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 substantive independent audit at T2, trigger-based second at T3, dual at T4; targeted review at T1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Escaped material findings by tier and change 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Automation becomes a rubber stamp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Negative tests, fail-closed semantics, protected policy and evidence publisher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Green checks with missing analyses, empty discovery, or bypassed action paths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Cached evidence becomes stale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Explicit input scope/freshness and new-head attestation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Mismatched base/head, lockfile, environment, selector, or policy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Cosmetic policy hides product defects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Consequence-based finding review, not automatic P3 waiver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Customer-facing recovery/accessibility defects dismissed as aesthetics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Short constitution hides needed expertise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Executable domain policy and concise boundary-specific guidance on demand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Reviewers unaware of concrete tenant, migration, crypto, or privacy assumptions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State registry becomes a new bureaucracy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Query owned facts; only store irreducible semantic state; no manual mirror ledger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Duplicate statuses, large prose blobs, stale “current” files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Reduced checkpoint ceremony loses 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Explicit recovery objective, durable checkpoints, relevant ownership monitoring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Recovery loss exceeding the approved window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Scope discipline ignores systemic defects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Expand only to the real causal boundary or open a material dependency with an owner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Repeated instances of the same consequential bug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Release decoupling becomes release evasion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Nonbypassable deployment authorization and exact integrated acceptance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 approvals cited as production acceptance without release evidence</w:t>
            </w:r>
          </w:p>
        </w:tc>
      </w:tr>
    </w:tbl>
    <w:p>
      <w:pPr>
        <w:spacing w:lineRule="auto"/>
      </w:pPr>
    </w:p>
    <w:p>
      <w:pPr>
        <w:spacing w:line="360" w:after="210" w:lineRule="auto"/>
      </w:pPr>
      <w:r>
        <w:rPr>
          <w:rFonts w:eastAsia="source serif 4" w:cs="source serif 4" w:ascii="source serif 4" w:hAnsi="source serif 4"/>
          <w:color w:val="000000"/>
        </w:rPr>
        <w:t xml:space="preserve">If the pilot shows a meaningful safety regression, restore or strengthen the specific missing protection rather than reimposing universal maximum ceremony. Do not use a short quiet pilot to claim statistical proof of equal safety; rare high-consequence events require adversarial testing and structural safeguards as well as operational measurement.</w:t>
      </w:r>
    </w:p>
    <w:p>
      <w:pPr>
        <w:spacing w:line="360" w:before="315" w:after="105" w:lineRule="auto"/>
        <w:ind w:left="-30"/>
        <w:jc w:val="left"/>
      </w:pPr>
      <w:bookmarkStart w:id="22" w:name="expected_throughput_improvement"/>
      <w:r>
        <w:rPr>
          <w:rFonts w:eastAsia="source serif 4" w:cs="source serif 4" w:ascii="source serif 4" w:hAnsi="source serif 4"/>
          <w:b/>
          <w:color w:val="000000"/>
          <w:sz w:val="24"/>
        </w:rPr>
        <w:t xml:space="preserve">Expected throughput improvement</w:t>
      </w:r>
      <w:bookmarkEnd w:id="22"/>
    </w:p>
    <w:p>
      <w:pPr>
        <w:spacing w:line="360" w:before="315" w:after="105" w:lineRule="auto"/>
        <w:ind w:left="-30"/>
        <w:jc w:val="left"/>
      </w:pPr>
      <w:bookmarkStart w:id="23" w:name="what_is_measurable_now"/>
      <w:r>
        <w:rPr>
          <w:rFonts w:eastAsia="source serif 4" w:cs="source serif 4" w:ascii="source serif 4" w:hAnsi="source serif 4"/>
          <w:b/>
          <w:color w:val="000000"/>
          <w:sz w:val="24"/>
        </w:rPr>
        <w:t xml:space="preserve">What is measurable now</w:t>
      </w:r>
      <w:bookmarkEnd w:id="23"/>
    </w:p>
    <w:p>
      <w:pPr>
        <w:spacing w:line="360" w:after="210" w:lineRule="auto"/>
      </w:pPr>
      <w:r>
        <w:rPr>
          <w:rFonts w:eastAsia="source serif 4" w:cs="source serif 4" w:ascii="source serif 4" w:hAnsi="source serif 4"/>
          <w:color w:val="000000"/>
        </w:rPr>
        <w:t xml:space="preserve">The baseline has 135 numbered rules and 25,277 words, before agents load separate plans, runbooks, and audit packets; the draft consolidates those obligations into </w:t>
      </w:r>
      <w:r>
        <w:rPr>
          <w:rFonts w:eastAsia="source serif 4" w:cs="source serif 4" w:ascii="source serif 4" w:hAnsi="source serif 4"/>
          <w:b/>
          <w:color w:val="000000"/>
        </w:rPr>
        <w:t xml:space="preserve">22 major rules and 2,514 words</w:t>
      </w:r>
      <w:r>
        <w:rPr>
          <w:rFonts w:eastAsia="source serif 4" w:cs="source serif 4" w:ascii="source serif 4" w:hAnsi="source serif 4"/>
          <w:color w:val="000000"/>
        </w:rPr>
        <w:t xml:space="preserve">, an </w:t>
      </w:r>
      <w:r>
        <w:rPr>
          <w:rFonts w:eastAsia="source serif 4" w:cs="source serif 4" w:ascii="source serif 4" w:hAnsi="source serif 4"/>
          <w:b/>
          <w:color w:val="000000"/>
        </w:rPr>
        <w:t xml:space="preserve">83.7% reduction in independently numbered rules and a 90.1% word reduction</w:t>
      </w:r>
      <w:r>
        <w:rPr>
          <w:rFonts w:eastAsia="source serif 4" w:cs="source serif 4" w:ascii="source serif 4" w:hAnsi="source serif 4"/>
          <w:color w:val="000000"/>
        </w:rPr>
        <w:t xml:space="preserve">, while moving the exhaustive old-rule mapping out of the routine operating context (</w:t>
      </w:r>
      <w:hyperlink r:id="rId64">
        <w:r>
          <w:rPr>
            <w:rFonts w:eastAsia="source sans 3" w:cs="source sans 3" w:ascii="source sans 3" w:hAnsi="source sans 3"/>
            <w:color w:val="#000"/>
            <w:u w:val="single"/>
          </w:rPr>
          <w:t xml:space="preserve">canonical baseline</w:t>
        </w:r>
      </w:hyperlink>
      <w:r>
        <w:rPr>
          <w:rFonts w:eastAsia="source serif 4" w:cs="source serif 4" w:ascii="source serif 4" w:hAnsi="source serif 4"/>
          <w:color w:val="000000"/>
        </w:rPr>
        <w:t xml:space="preserve">). Word counts use whitespace-delimited words across the complete Markdown files, including headings and tables; neither metric alone demonstrates better engineering.</w:t>
      </w:r>
    </w:p>
    <w:p>
      <w:pPr>
        <w:spacing w:line="360" w:after="210" w:lineRule="auto"/>
      </w:pPr>
      <w:r>
        <w:rPr>
          <w:rFonts w:eastAsia="source serif 4" w:cs="source serif 4" w:ascii="source serif 4" w:hAnsi="source serif 4"/>
          <w:color w:val="000000"/>
        </w:rPr>
        <w:t xml:space="preserve">There is no reliable measured baseline here for total orchestration time, audit effort, or the future PR-tier mix. The estimates below are explicit scenarios, not observed savings, model-credit estimates, or a promise about the current remediation queue.</w:t>
      </w:r>
    </w:p>
    <w:p>
      <w:pPr>
        <w:spacing w:line="360" w:before="315" w:after="105" w:lineRule="auto"/>
        <w:ind w:left="-30"/>
        <w:jc w:val="left"/>
      </w:pPr>
      <w:bookmarkStart w:id="24" w:name="illustrative_review_demand_per_10_b8968e"/>
      <w:r>
        <w:rPr>
          <w:rFonts w:eastAsia="source serif 4" w:cs="source serif 4" w:ascii="source serif 4" w:hAnsi="source serif 4"/>
          <w:b/>
          <w:color w:val="000000"/>
          <w:sz w:val="24"/>
        </w:rPr>
        <w:t xml:space="preserve">Illustrative review demand per 100 ordinary changes</w:t>
      </w:r>
      <w:bookmarkEnd w:id="24"/>
    </w:p>
    <w:p>
      <w:pPr>
        <w:spacing w:line="360" w:after="210" w:lineRule="auto"/>
      </w:pPr>
      <w:r>
        <w:rPr>
          <w:rFonts w:eastAsia="source serif 4" w:cs="source serif 4" w:ascii="source serif 4" w:hAnsi="source serif 4"/>
          <w:color w:val="000000"/>
        </w:rPr>
        <w:t xml:space="preserve">Assume 20 T0, 40 T1, 25 T2, 10 T3, and 5 T4 changes. Assume five of the ten T3 changes trigger a second lens, and compare only initial review demand, excluding unchanged release work and follow-up fixes.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demand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Universal dual-audit model</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Proposed tiers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independent audit assignments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Targeted Tier 1 review passes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Included within full audits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Initial full-audit reduction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Baseline</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75%</w:t>
            </w:r>
          </w:p>
        </w:tc>
      </w:tr>
    </w:tbl>
    <w:p>
      <w:pPr>
        <w:spacing w:lineRule="auto"/>
      </w:pPr>
    </w:p>
    <w:p>
      <w:pPr>
        <w:spacing w:line="360" w:after="210" w:lineRule="auto"/>
      </w:pPr>
      <w:r>
        <w:rPr>
          <w:rFonts w:eastAsia="source serif 4" w:cs="source serif 4" w:ascii="source serif 4" w:hAnsi="source serif 4"/>
          <w:color w:val="000000"/>
        </w:rPr>
        <w:t xml:space="preserve">The 50 full audits comprise 25 for T2, 15 for T3, and 10 for T4. If a targeted T1 review takes one-quarter to one-half the effort of a full audit, the new first-pass workload is 60–70 normalized full-audit units instead of 200, a modeled </w:t>
      </w:r>
      <w:r>
        <w:rPr>
          <w:rFonts w:eastAsia="source serif 4" w:cs="source serif 4" w:ascii="source serif 4" w:hAnsi="source serif 4"/>
          <w:b/>
          <w:color w:val="000000"/>
        </w:rPr>
        <w:t xml:space="preserve">65–70% reduction in that review component</w:t>
      </w:r>
      <w:r>
        <w:rPr>
          <w:rFonts w:eastAsia="source serif 4" w:cs="source serif 4" w:ascii="source serif 4" w:hAnsi="source serif 4"/>
          <w:color w:val="000000"/>
        </w:rPr>
        <w:t xml:space="preserve">. This does not include implementation work or assume every auditor currently repeats all tests.</w:t>
      </w:r>
    </w:p>
    <w:p>
      <w:pPr>
        <w:spacing w:line="360" w:after="210" w:lineRule="auto"/>
      </w:pPr>
      <w:r>
        <w:rPr>
          <w:rFonts w:eastAsia="source serif 4" w:cs="source serif 4" w:ascii="source serif 4" w:hAnsi="source serif 4"/>
          <w:color w:val="000000"/>
        </w:rPr>
        <w:t xml:space="preserve">For routine orchestration plus audit effort, a reasonable </w:t>
      </w:r>
      <w:r>
        <w:rPr>
          <w:rFonts w:eastAsia="source serif 4" w:cs="source serif 4" w:ascii="source serif 4" w:hAnsi="source serif 4"/>
          <w:b/>
          <w:color w:val="000000"/>
        </w:rPr>
        <w:t xml:space="preserve">planning hypothesis is 40–60% less effort</w:t>
      </w:r>
      <w:r>
        <w:rPr>
          <w:rFonts w:eastAsia="source serif 4" w:cs="source serif 4" w:ascii="source serif 4" w:hAnsi="source serif 4"/>
          <w:color w:val="000000"/>
        </w:rPr>
        <w:t xml:space="preserve"> once trusted state, evidence reuse, and low-tier handling are established. Confidence is low until measured; the current security/enforcement-heavy queue should see much smaller gains because its independent judgment requirements remain. The immediate savings there should come from fact transport, duplicate test execution, and unnecessary restart/formatting work, not removal of substantive review.</w:t>
      </w:r>
    </w:p>
    <w:p>
      <w:pPr>
        <w:spacing w:line="360" w:after="210" w:lineRule="auto"/>
      </w:pPr>
      <w:r>
        <w:rPr>
          <w:rFonts w:eastAsia="source serif 4" w:cs="source serif 4" w:ascii="source serif 4" w:hAnsi="source serif 4"/>
          <w:color w:val="000000"/>
        </w:rPr>
        <w:t xml:space="preserve">If governance currently consumes 40% of total engineering time and its effort falls by 50%, total effort per unchanged unit of delivery falls by 20%, corresponding to about 25% more throughput at the same capacity. Both inputs are hypothetical. Product complexity, queueing, and defect rework can change the result substantially.</w:t>
      </w:r>
    </w:p>
    <w:p>
      <w:pPr>
        <w:spacing w:line="360" w:before="315" w:after="105" w:lineRule="auto"/>
        <w:ind w:left="-30"/>
        <w:jc w:val="left"/>
      </w:pPr>
      <w:bookmarkStart w:id="25" w:name="measure_outcomes_not_compliance_theater"/>
      <w:r>
        <w:rPr>
          <w:rFonts w:eastAsia="source serif 4" w:cs="source serif 4" w:ascii="source serif 4" w:hAnsi="source serif 4"/>
          <w:b/>
          <w:color w:val="000000"/>
          <w:sz w:val="24"/>
        </w:rPr>
        <w:t xml:space="preserve">Measure outcomes, not compliance theater</w:t>
      </w:r>
      <w:bookmarkEnd w:id="25"/>
    </w:p>
    <w:p>
      <w:pPr>
        <w:spacing w:line="360" w:after="210" w:lineRule="auto"/>
      </w:pPr>
      <w:r>
        <w:rPr>
          <w:rFonts w:eastAsia="source serif 4" w:cs="source serif 4" w:ascii="source serif 4" w:hAnsi="source serif 4"/>
          <w:color w:val="000000"/>
        </w:rPr>
        <w:t xml:space="preserve">Compare similar changes within each tier using median/P90 elapsed delivery time, active implementation time, orchestration/review time, auditor assignments, repeated test executions, stale-evidence restarts, rework, escaped material defects, incidents, rollback/recovery outcomes, and product acceptance. Prefer timestamps and check-run records already available rather than asking agents to create a timekeeping narrative.</w:t>
      </w:r>
    </w:p>
    <w:p>
      <w:pPr>
        <w:spacing w:line="360" w:after="210" w:lineRule="auto"/>
      </w:pPr>
      <w:r>
        <w:rPr>
          <w:rFonts w:eastAsia="source serif 4" w:cs="source serif 4" w:ascii="source serif 4" w:hAnsi="source serif 4"/>
          <w:color w:val="000000"/>
        </w:rPr>
        <w:t xml:space="preserve">Judge the refactor by lower effort and faster useful delivery without worsened safety or acceptance outcomes. Keep T4 incident and near-miss review qualitative as well as quantitative; a low count of rare events is not evidence that those controls are unnecessary.</w:t>
      </w:r>
    </w:p>
    <w:p>
      <w:pPr>
        <w:spacing w:line="360" w:before="315" w:after="105" w:lineRule="auto"/>
        <w:ind w:left="-30"/>
        <w:jc w:val="left"/>
      </w:pPr>
      <w:bookmarkStart w:id="26" w:name="proposed_constitution"/>
      <w:r>
        <w:rPr>
          <w:rFonts w:eastAsia="source serif 4" w:cs="source serif 4" w:ascii="source serif 4" w:hAnsi="source serif 4"/>
          <w:b/>
          <w:color w:val="000000"/>
          <w:sz w:val="24"/>
        </w:rPr>
        <w:t xml:space="preserve">Proposed constitution</w:t>
      </w:r>
      <w:bookmarkEnd w:id="26"/>
    </w:p>
    <w:p>
      <w:pPr>
        <w:spacing w:line="360" w:after="210" w:lineRule="auto"/>
      </w:pPr>
      <w:r>
        <w:rPr>
          <w:rFonts w:eastAsia="source serif 4" w:cs="source serif 4" w:ascii="source serif 4" w:hAnsi="source serif 4"/>
          <w:color w:val="000000"/>
        </w:rPr>
        <w:t xml:space="preserve">The separate draft is designed to be the everyday operating document. The annex and this analysis are transition/reference material, not additional mandatory reading on every task.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Draft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Authority, quality, ownership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G01 authority; G02 customer quality; G03 mandate; G04 durable work; G05 identity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 verification, review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G06 tiers; G07 deterministic gates; G08 useful tests; G09 evidence; G10 independence; G11 findings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Engineering safety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G12 security/tenancy; G13 data/privacy/money; G14 contracts/dependencies; G15 reliability; G16 artifacts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Delivery and context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G17 merge/deploy; G18 release acceptance; G19 current state; G20 escalation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Keeping it small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G21 implementation simplicity; G22 governance value</w:t>
            </w:r>
          </w:p>
        </w:tc>
      </w:tr>
    </w:tbl>
    <w:p>
      <w:pPr>
        <w:spacing w:lineRule="auto"/>
      </w:pPr>
    </w:p>
    <w:p>
      <w:pPr>
        <w:spacing w:line="360" w:after="210" w:lineRule="auto"/>
      </w:pPr>
      <w:r>
        <w:rPr>
          <w:rFonts w:eastAsia="source serif 4" w:cs="source serif 4" w:ascii="source serif 4" w:hAnsi="source serif 4"/>
          <w:color w:val="000000"/>
        </w:rPr>
        <w:t xml:space="preserve">The rules intentionally avoid model-brand prescriptions, philosophical attribution exercises, fixed universal LOC/test ratios, permanent historical anecdotes, and commands that become stale. Domain parameters belong in tested policy and targeted operational guidance, not 135 separately remembered instructions.</w:t>
      </w:r>
    </w:p>
    <w:p>
      <w:pPr>
        <w:spacing w:line="360" w:before="315" w:after="105" w:lineRule="auto"/>
        <w:ind w:left="-30"/>
        <w:jc w:val="left"/>
      </w:pPr>
      <w:bookmarkStart w:id="27" w:name="a_better_ideal_state"/>
      <w:r>
        <w:rPr>
          <w:rFonts w:eastAsia="source serif 4" w:cs="source serif 4" w:ascii="source serif 4" w:hAnsi="source serif 4"/>
          <w:b/>
          <w:color w:val="000000"/>
          <w:sz w:val="24"/>
        </w:rPr>
        <w:t xml:space="preserve">A better ideal state</w:t>
      </w:r>
      <w:bookmarkEnd w:id="27"/>
    </w:p>
    <w:p>
      <w:pPr>
        <w:spacing w:line="360" w:after="210" w:lineRule="auto"/>
      </w:pPr>
      <w:r>
        <w:rPr>
          <w:rFonts w:eastAsia="source serif 4" w:cs="source serif 4" w:ascii="source serif 4" w:hAnsi="source serif 4"/>
          <w:color w:val="000000"/>
        </w:rPr>
        <w:t xml:space="preserve">The four requested lenses are useful as design principles, not endorsements or substitutes for engineering evidence. My stronger recommendation is an </w:t>
      </w:r>
      <w:r>
        <w:rPr>
          <w:rFonts w:eastAsia="source serif 4" w:cs="source serif 4" w:ascii="source serif 4" w:hAnsi="source serif 4"/>
          <w:b/>
          <w:color w:val="000000"/>
        </w:rPr>
        <w:t xml:space="preserve">evidence-driven authorization system with a very small trusted core</w:t>
      </w:r>
      <w:r>
        <w:rPr>
          <w:rFonts w:eastAsia="source serif 4" w:cs="source serif 4" w:ascii="source serif 4" w:hAnsi="source serif 4"/>
          <w:color w:val="000000"/>
        </w:rPr>
        <w:t xml:space="preserve">, rather than a policy document that agents must continuously reenact.</w:t>
      </w:r>
    </w:p>
    <w:p>
      <w:pPr>
        <w:numPr>
          <w:ilvl w:val="0"/>
          <w:numId w:val="6"/>
        </w:numPr>
        <w:spacing w:line="360" w:before="105" w:after="105" w:lineRule="auto"/>
      </w:pPr>
      <w:r>
        <w:rPr>
          <w:rFonts w:eastAsia="source serif 4" w:cs="source serif 4" w:ascii="source serif 4" w:hAnsi="source serif 4"/>
          <w:b/>
          <w:color w:val="000000"/>
          <w:sz w:val="21"/>
        </w:rPr>
        <w:t xml:space="preserve">Facts are fetched, not retold:</w:t>
      </w:r>
      <w:r>
        <w:rPr>
          <w:rFonts w:eastAsia="source serif 4" w:cs="source serif 4" w:ascii="source serif 4" w:hAnsi="source serif 4"/>
          <w:color w:val="000000"/>
          <w:sz w:val="21"/>
        </w:rPr>
        <w:t xml:space="preserve"> GitHub owns heads and check runs; build systems own artifacts; findings own closure evidence; plans own product acceptance. A compact view assembles them with provenance and explicit unknowns.</w:t>
      </w:r>
    </w:p>
    <w:p>
      <w:pPr>
        <w:numPr>
          <w:ilvl w:val="0"/>
          <w:numId w:val="6"/>
        </w:numPr>
        <w:spacing w:line="360" w:before="105" w:after="105" w:lineRule="auto"/>
      </w:pPr>
      <w:r>
        <w:rPr>
          <w:rFonts w:eastAsia="source serif 4" w:cs="source serif 4" w:ascii="source serif 4" w:hAnsi="source serif 4"/>
          <w:b/>
          <w:color w:val="000000"/>
          <w:sz w:val="21"/>
        </w:rPr>
        <w:t xml:space="preserve">Judgment follows changed risk:</w:t>
      </w:r>
      <w:r>
        <w:rPr>
          <w:rFonts w:eastAsia="source serif 4" w:cs="source serif 4" w:ascii="source serif 4" w:hAnsi="source serif 4"/>
          <w:color w:val="000000"/>
          <w:sz w:val="21"/>
        </w:rPr>
        <w:t xml:space="preserve"> Humans and independent AI reviewers spend attention on new uncertainty, not re-counting deterministic facts. Shared valid evidence reduces work without collapsing independent reasoning.</w:t>
      </w:r>
    </w:p>
    <w:p>
      <w:pPr>
        <w:numPr>
          <w:ilvl w:val="0"/>
          <w:numId w:val="6"/>
        </w:numPr>
        <w:spacing w:line="360" w:before="105" w:after="105" w:lineRule="auto"/>
      </w:pPr>
      <w:r>
        <w:rPr>
          <w:rFonts w:eastAsia="source serif 4" w:cs="source serif 4" w:ascii="source serif 4" w:hAnsi="source serif 4"/>
          <w:b/>
          <w:color w:val="000000"/>
          <w:sz w:val="21"/>
        </w:rPr>
        <w:t xml:space="preserve">Permissions enforce ownership:</w:t>
      </w:r>
      <w:r>
        <w:rPr>
          <w:rFonts w:eastAsia="source serif 4" w:cs="source serif 4" w:ascii="source serif 4" w:hAnsi="source serif 4"/>
          <w:color w:val="000000"/>
          <w:sz w:val="21"/>
        </w:rPr>
        <w:t xml:space="preserve"> Where practical, builders cannot change protected policy, approve themselves, publish final review, or deploy production. Separate capabilities prevent mistakes that prose merely warns against.</w:t>
      </w:r>
    </w:p>
    <w:p>
      <w:pPr>
        <w:numPr>
          <w:ilvl w:val="0"/>
          <w:numId w:val="6"/>
        </w:numPr>
        <w:spacing w:line="360" w:before="105" w:after="105" w:lineRule="auto"/>
      </w:pPr>
      <w:r>
        <w:rPr>
          <w:rFonts w:eastAsia="source serif 4" w:cs="source serif 4" w:ascii="source serif 4" w:hAnsi="source serif 4"/>
          <w:b/>
          <w:color w:val="000000"/>
          <w:sz w:val="21"/>
        </w:rPr>
        <w:t xml:space="preserve">Release acceptance is incremental but integrated:</w:t>
      </w:r>
      <w:r>
        <w:rPr>
          <w:rFonts w:eastAsia="source serif 4" w:cs="source serif 4" w:ascii="source serif 4" w:hAnsi="source serif 4"/>
          <w:color w:val="000000"/>
          <w:sz w:val="21"/>
        </w:rPr>
        <w:t xml:space="preserve"> Maintain a known accepted baseline and reconcile the exact candidate against it. Reuse still-valid evidence and test affected journeys broadly enough to prove the system, rather than either certifying the entire company from scratch on every PR or trusting isolated green checks.</w:t>
      </w:r>
    </w:p>
    <w:p>
      <w:pPr>
        <w:numPr>
          <w:ilvl w:val="0"/>
          <w:numId w:val="6"/>
        </w:numPr>
        <w:spacing w:line="360" w:before="105" w:after="105" w:lineRule="auto"/>
      </w:pPr>
      <w:r>
        <w:rPr>
          <w:rFonts w:eastAsia="source serif 4" w:cs="source serif 4" w:ascii="source serif 4" w:hAnsi="source serif 4"/>
          <w:b/>
          <w:color w:val="000000"/>
          <w:sz w:val="21"/>
        </w:rPr>
        <w:t xml:space="preserve">State changes are explicit: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implemented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tested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reviewed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merge-eligible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landed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deployed</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accepted</w:t>
      </w:r>
      <w:r>
        <w:rPr>
          <w:rFonts w:eastAsia="source serif 4" w:cs="source serif 4" w:ascii="source serif 4" w:hAnsi="source serif 4"/>
          <w:color w:val="000000"/>
          <w:sz w:val="21"/>
        </w:rPr>
        <w:t xml:space="preserve"> are distinct claims. There is no universal green badge that erases unknowns.</w:t>
      </w:r>
    </w:p>
    <w:p>
      <w:pPr>
        <w:numPr>
          <w:ilvl w:val="0"/>
          <w:numId w:val="6"/>
        </w:numPr>
        <w:spacing w:line="360" w:before="105" w:after="105" w:lineRule="auto"/>
      </w:pPr>
      <w:r>
        <w:rPr>
          <w:rFonts w:eastAsia="source serif 4" w:cs="source serif 4" w:ascii="source serif 4" w:hAnsi="source serif 4"/>
          <w:b/>
          <w:color w:val="000000"/>
          <w:sz w:val="21"/>
        </w:rPr>
        <w:t xml:space="preserve">Exceptions stay local:</w:t>
      </w:r>
      <w:r>
        <w:rPr>
          <w:rFonts w:eastAsia="source serif 4" w:cs="source serif 4" w:ascii="source serif 4" w:hAnsi="source serif 4"/>
          <w:color w:val="000000"/>
          <w:sz w:val="21"/>
        </w:rPr>
        <w:t xml:space="preserve"> One missing control produces one bounded temporary safeguard with an owner and exit condition. It does not automatically become another rule applied forever to every future task.</w:t>
      </w:r>
    </w:p>
    <w:p>
      <w:pPr>
        <w:numPr>
          <w:ilvl w:val="0"/>
          <w:numId w:val="6"/>
        </w:numPr>
        <w:spacing w:line="360" w:before="105" w:after="105" w:lineRule="auto"/>
      </w:pPr>
      <w:r>
        <w:rPr>
          <w:rFonts w:eastAsia="source serif 4" w:cs="source serif 4" w:ascii="source serif 4" w:hAnsi="source serif 4"/>
          <w:b/>
          <w:color w:val="000000"/>
          <w:sz w:val="21"/>
        </w:rPr>
        <w:t xml:space="preserve">Governance has a deletion budget, not a deletion quota:</w:t>
      </w:r>
      <w:r>
        <w:rPr>
          <w:rFonts w:eastAsia="source serif 4" w:cs="source serif 4" w:ascii="source serif 4" w:hAnsi="source serif 4"/>
          <w:color w:val="000000"/>
          <w:sz w:val="21"/>
        </w:rPr>
        <w:t xml:space="preserve"> Every new requirement should replace, merge, or justify additional operating burden. Do not force an arbitrary percentage of deleted rules to be added back.</w:t>
      </w:r>
    </w:p>
    <w:p>
      <w:pPr>
        <w:spacing w:line="360" w:after="210" w:lineRule="auto"/>
      </w:pPr>
      <w:r>
        <w:rPr>
          <w:rFonts w:eastAsia="source serif 4" w:cs="source serif 4" w:ascii="source serif 4" w:hAnsi="source serif 4"/>
          <w:color w:val="000000"/>
        </w:rPr>
        <w:t xml:space="preserve">Start with existing GitHub metadata, existing CI, and a small typed policy/record layer. Do not build a comprehensive agent-control platform before demonstrating that a handful of enforced invariants eliminates the observed failure modes.</w:t>
      </w:r>
    </w:p>
    <w:p>
      <w:pPr>
        <w:spacing w:line="360" w:before="315" w:after="105" w:lineRule="auto"/>
        <w:ind w:left="-30"/>
        <w:jc w:val="left"/>
      </w:pPr>
      <w:bookmarkStart w:id="28" w:name="the_smallest_useful_state_contract"/>
      <w:r>
        <w:rPr>
          <w:rFonts w:eastAsia="source serif 4" w:cs="source serif 4" w:ascii="source serif 4" w:hAnsi="source serif 4"/>
          <w:b/>
          <w:color w:val="000000"/>
          <w:sz w:val="24"/>
        </w:rPr>
        <w:t xml:space="preserve">The smallest useful state contract</w:t>
      </w:r>
      <w:bookmarkEnd w:id="28"/>
    </w:p>
    <w:p>
      <w:pPr>
        <w:spacing w:line="360" w:after="210" w:lineRule="auto"/>
      </w:pPr>
      <w:r>
        <w:rPr>
          <w:rFonts w:eastAsia="source serif 4" w:cs="source serif 4" w:ascii="source serif 4" w:hAnsi="source serif 4"/>
          <w:color w:val="000000"/>
        </w:rPr>
        <w:t xml:space="preserve">Separate a small human-authored semantic record from generated facts. The semantic record needs only change identity, owner, tier/rationale, acceptance references, dependencies, and finding/review references; current heads and CI results should be fetched rather than manually copied into it.</w:t>
      </w:r>
    </w:p>
    <w:p>
      <w:pPr>
        <w:spacing w:line="360" w:after="210" w:lineRule="auto"/>
      </w:pPr>
      <w:r>
        <w:rPr>
          <w:rFonts w:eastAsia="source serif 4" w:cs="source serif 4" w:ascii="source serif 4" w:hAnsi="source serif 4"/>
          <w:color w:val="000000"/>
        </w:rPr>
        <w:t xml:space="preserve">The generated view can add observation time, trusted policy revision, exact source/build references, required-check execution states, applicable review attestations, blocking findings, and separate merge/deploy eligibility. Represent unavailable information as unknown, never as an empty list that implies “none.”</w:t>
      </w:r>
    </w:p>
    <w:p>
      <w:pPr>
        <w:spacing w:line="360" w:after="210" w:lineRule="auto"/>
      </w:pPr>
      <w:r>
        <w:rPr>
          <w:rFonts w:eastAsia="source serif 4" w:cs="source serif 4" w:ascii="source serif 4" w:hAnsi="source serif 4"/>
          <w:color w:val="000000"/>
        </w:rPr>
        <w:t xml:space="preserve">Use one schema and the existing finding/PR systems before considering a new database. Immutable events preserve history; the current projection stays small. A valid schema proves record shape, not the truth or adequacy of its evidence, so trusted publication and adversarial review remain essential.</w:t>
      </w:r>
    </w:p>
    <w:p>
      <w:pPr>
        <w:spacing w:line="360" w:after="210" w:lineRule="auto"/>
      </w:pPr>
      <w:r>
        <w:rPr>
          <w:rFonts w:eastAsia="source serif 4" w:cs="source serif 4" w:ascii="source serif 4" w:hAnsi="source serif 4"/>
          <w:color w:val="000000"/>
        </w:rPr>
        <w:t xml:space="preserve">The intended end state is not “agents may skip safety because they are smarter now.” It is “unsafe actions are harder to perform, trustworthy context is cheaper to obtain, and independent judgment is concentrated where it changes the outcome.”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ithub.com/BradleyGleavePortfolio/tgp-agent-context/blob/2ead9b05e967713201c03619b564a3db4cadea35/AGENT_RULES.md" TargetMode="External"/><Relationship Id="rId6" Type="http://schemas.openxmlformats.org/officeDocument/2006/relationships/hyperlink" Target="https://github.com/BradleyGleavePortfolio/tgp-agent-context/tree/2ead9b05e967713201c03619b564a3db4cadea35" TargetMode="External"/><Relationship Id="rId7" Type="http://schemas.openxmlformats.org/officeDocument/2006/relationships/hyperlink" Target="https://github.com/BradleyGleavePortfolio/tgp-agent-context/pull/33" TargetMode="External"/><Relationship Id="rId8" Type="http://schemas.openxmlformats.org/officeDocument/2006/relationships/hyperlink" Target="https://github.com/BradleyGleavePortfolio/tgp-agent-context/blob/2ead9b05e967713201c03619b564a3db4cadea35/handoffs/op81/CONTINUATION_AND_ROMAN_IMPORT_PLAN.md" TargetMode="External"/><Relationship Id="rId9" Type="http://schemas.openxmlformats.org/officeDocument/2006/relationships/hyperlink" Target="https://github.com/BradleyGleavePortfolio/tgp-agent-context/blob/2ead9b05e967713201c03619b564a3db4cadea35/handoffs/op81/AUDIT_AND_PUBLICATION_RECORD.md" TargetMode="External"/><Relationship Id="rId10" Type="http://schemas.openxmlformats.org/officeDocument/2006/relationships/hyperlink" Target="https://github.com/BradleyGleavePortfolio/tgp-agent-context/blob/54749b99427b91f4dd0c0026893bd6333a70d7d0/handoffs/op81/EXECUTION_CHECKPOINT.md" TargetMode="External"/><Relationship Id="rId11" Type="http://schemas.openxmlformats.org/officeDocument/2006/relationships/hyperlink" Target="https://github.com/BradleyGleavePortfolio/tgp-agent-context/blob/54749b99427b91f4dd0c0026893bd6333a70d7d0/handoffs/op81/RECOVERY_MANIFEST.md" TargetMode="External"/><Relationship Id="rId12" Type="http://schemas.openxmlformats.org/officeDocument/2006/relationships/hyperlink" Target="https://github.com/BradleyGleavePortfolio/tgp-agent-context/blob/54749b99427b91f4dd0c0026893bd6333a70d7d0/handoffs/op81/evidence/pr524-r0/audit-a/REPORT.md" TargetMode="External"/><Relationship Id="rId13" Type="http://schemas.openxmlformats.org/officeDocument/2006/relationships/hyperlink" Target="https://github.com/BradleyGleavePortfolio/tgp-agent-context/blob/54749b99427b91f4dd0c0026893bd6333a70d7d0/handoffs/op81/EXECUTION_CHECKPOINT.md#L1-L95" TargetMode="External"/><Relationship Id="rId14" Type="http://schemas.openxmlformats.org/officeDocument/2006/relationships/hyperlink" Target="https://api.github.com/repos/BradleyGleavePortfolio/growth-project-backend/branches/main" TargetMode="External"/><Relationship Id="rId15" Type="http://schemas.openxmlformats.org/officeDocument/2006/relationships/hyperlink" Target="https://api.github.com/repos/BradleyGleavePortfolio/growth-project-mobile/branches/main" TargetMode="External"/><Relationship Id="rId16" Type="http://schemas.openxmlformats.org/officeDocument/2006/relationships/hyperlink" Target="https://api.github.com/repos/BradleyGleavePortfolio/tgp-agent-context/branches/main" TargetMode="External"/><Relationship Id="rId17" Type="http://schemas.openxmlformats.org/officeDocument/2006/relationships/hyperlink" Target="https://api.github.com/repos/BradleyGleavePortfolio/tgp-importer-extension/branches/main/protection" TargetMode="External"/><Relationship Id="rId18" Type="http://schemas.openxmlformats.org/officeDocument/2006/relationships/hyperlink" Target="https://github.com/BradleyGleavePortfolio/growth-project-backend/pull/524" TargetMode="External"/><Relationship Id="rId19" Type="http://schemas.openxmlformats.org/officeDocument/2006/relationships/hyperlink" Target="https://github.com/BradleyGleavePortfolio/growth-project-backend/blob/c23b9d9f3fcc106b92c061ceb7d04d7ec53038d7/.github/workflows/fly-deploy.yml" TargetMode="External"/><Relationship Id="rId20" Type="http://schemas.openxmlformats.org/officeDocument/2006/relationships/hyperlink" Target="https://github.com/BradleyGleavePortfolio/growth-project-backend/blob/c23b9d9f3fcc106b92c061ceb7d04d7ec53038d7/.github/workflows/h4-readiness.yml" TargetMode="External"/><Relationship Id="rId21" Type="http://schemas.openxmlformats.org/officeDocument/2006/relationships/hyperlink" Target="https://github.com/BradleyGleavePortfolio/growth-project-backend/blob/c23b9d9f3fcc106b92c061ceb7d04d7ec53038d7/.github/workflows/codeql.yml" TargetMode="External"/><Relationship Id="rId22" Type="http://schemas.openxmlformats.org/officeDocument/2006/relationships/hyperlink" Target="https://github.com/BradleyGleavePortfolio/tgp-agent-context/blob/54749b99427b91f4dd0c0026893bd6333a70d7d0/handoffs/op81/evidence/pr524-r0/audit-a/REPORT.md" TargetMode="External"/><Relationship Id="rId23" Type="http://schemas.openxmlformats.org/officeDocument/2006/relationships/hyperlink" Target="https://github.com/BradleyGleavePortfolio/tgp-agent-context/blob/2ead9b05e967713201c03619b564a3db4cadea35/handoffs/importer-wave/R3_MERGE_RUNBOOK.md" TargetMode="External"/><Relationship Id="rId24" Type="http://schemas.openxmlformats.org/officeDocument/2006/relationships/hyperlink" Target="https://github.com/BradleyGleavePortfolio/tgp-agent-context/blob/2ead9b05e967713201c03619b564a3db4cadea35/AGENT_RULES.md" TargetMode="External"/><Relationship Id="rId25" Type="http://schemas.openxmlformats.org/officeDocument/2006/relationships/hyperlink" Target="https://github.com/BradleyGleavePortfolio/tgp-agent-context/blob/2ead9b05e967713201c03619b564a3db4cadea35/handoffs/importer-wave/current-state.json" TargetMode="External"/><Relationship Id="rId26" Type="http://schemas.openxmlformats.org/officeDocument/2006/relationships/hyperlink" Target="https://github.com/BradleyGleavePortfolio/tgp-agent-context/blob/54749b99427b91f4dd0c0026893bd6333a70d7d0/handoffs/op81/EXECUTION_CHECKPOINT.md" TargetMode="External"/><Relationship Id="rId27" Type="http://schemas.openxmlformats.org/officeDocument/2006/relationships/hyperlink" Target="https://github.com/BradleyGleavePortfolio/tgp-agent-context/blob/54749b99427b91f4dd0c0026893bd6333a70d7d0/handoffs/op81/RECOVERY_MANIFEST.md" TargetMode="External"/><Relationship Id="rId28" Type="http://schemas.openxmlformats.org/officeDocument/2006/relationships/hyperlink" Target="https://github.com/BradleyGleavePortfolio/tgp-agent-context/blob/2ead9b05e967713201c03619b564a3db4cadea35/AGENT_RULES.md" TargetMode="External"/><Relationship Id="rId29" Type="http://schemas.openxmlformats.org/officeDocument/2006/relationships/hyperlink" Target="https://github.com/BradleyGleavePortfolio/tgp-agent-context/blob/2ead9b05e967713201c03619b564a3db4cadea35/AGENT_RULES.md" TargetMode="External"/><Relationship Id="rId30" Type="http://schemas.openxmlformats.org/officeDocument/2006/relationships/hyperlink" Target="https://github.com/BradleyGleavePortfolio/tgp-agent-context/blob/2ead9b05e967713201c03619b564a3db4cadea35/AGENT_RULES.md" TargetMode="External"/><Relationship Id="rId31" Type="http://schemas.openxmlformats.org/officeDocument/2006/relationships/hyperlink" Target="https://github.com/BradleyGleavePortfolio/tgp-agent-context/blob/54749b99427b91f4dd0c0026893bd6333a70d7d0/handoffs/op81/evidence/pr524-r0/audit-a/REPORT.md" TargetMode="External"/><Relationship Id="rId32" Type="http://schemas.openxmlformats.org/officeDocument/2006/relationships/hyperlink" Target="https://github.com/BradleyGleavePortfolio/tgp-agent-context/blob/54749b99427b91f4dd0c0026893bd6333a70d7d0/handoffs/op81/evidence/pr524-r0/audit-a/REPORT.md" TargetMode="External"/><Relationship Id="rId33" Type="http://schemas.openxmlformats.org/officeDocument/2006/relationships/hyperlink" Target="https://github.com/BradleyGleavePortfolio/tgp-agent-context/blob/54749b99427b91f4dd0c0026893bd6333a70d7d0/handoffs/op81/evidence/pr524-r0/audit-a/REPORT.md" TargetMode="External"/><Relationship Id="rId34" Type="http://schemas.openxmlformats.org/officeDocument/2006/relationships/hyperlink" Target="https://github.com/BradleyGleavePortfolio/tgp-agent-context/blob/54749b99427b91f4dd0c0026893bd6333a70d7d0/handoffs/op81/evidence/pr524-r0/audit-a/REPORT.md" TargetMode="External"/><Relationship Id="rId35" Type="http://schemas.openxmlformats.org/officeDocument/2006/relationships/hyperlink" Target="https://github.com/BradleyGleavePortfolio/tgp-agent-context/blob/54749b99427b91f4dd0c0026893bd6333a70d7d0/handoffs/op81/evidence/pr524-r0/audit-a/REPORT.md" TargetMode="External"/><Relationship Id="rId36" Type="http://schemas.openxmlformats.org/officeDocument/2006/relationships/hyperlink" Target="https://github.com/BradleyGleavePortfolio/tgp-agent-context/blob/54749b99427b91f4dd0c0026893bd6333a70d7d0/handoffs/op81/evidence/pr524-r0/audit-a/REPORT.md" TargetMode="External"/><Relationship Id="rId37" Type="http://schemas.openxmlformats.org/officeDocument/2006/relationships/hyperlink" Target="https://github.com/BradleyGleavePortfolio/tgp-agent-context/blob/54749b99427b91f4dd0c0026893bd6333a70d7d0/handoffs/op81/evidence/pr524-r0/audit-a/REPORT.md" TargetMode="External"/><Relationship Id="rId38" Type="http://schemas.openxmlformats.org/officeDocument/2006/relationships/hyperlink" Target="https://github.com/BradleyGleavePortfolio/tgp-agent-context/blob/54749b99427b91f4dd0c0026893bd6333a70d7d0/handoffs/op81/evidence/pr524-r0/audit-a/REPORT.md" TargetMode="External"/><Relationship Id="rId39" Type="http://schemas.openxmlformats.org/officeDocument/2006/relationships/hyperlink" Target="https://github.com/BradleyGleavePortfolio/tgp-agent-context/blob/2ead9b05e967713201c03619b564a3db4cadea35/handoffs/op75/PRE_BUILD_REVIEW_OP75.md" TargetMode="External"/><Relationship Id="rId40" Type="http://schemas.openxmlformats.org/officeDocument/2006/relationships/hyperlink" Target="https://api.github.com/repos/BradleyGleavePortfolio/growth-project-backend/branches/main" TargetMode="External"/><Relationship Id="rId41" Type="http://schemas.openxmlformats.org/officeDocument/2006/relationships/hyperlink" Target="https://github.com/BradleyGleavePortfolio/tgp-agent-context/blob/2ead9b05e967713201c03619b564a3db4cadea35/handoffs/importer-wave/R3_MERGE_RUNBOOK.md" TargetMode="External"/><Relationship Id="rId42" Type="http://schemas.openxmlformats.org/officeDocument/2006/relationships/hyperlink" Target="https://github.com/BradleyGleavePortfolio/tgp-agent-context/blob/2ead9b05e967713201c03619b564a3db4cadea35/handoffs/importer-wave/R3_MERGE_RUNBOOK.md" TargetMode="External"/><Relationship Id="rId43" Type="http://schemas.openxmlformats.org/officeDocument/2006/relationships/hyperlink" Target="https://github.com/BradleyGleavePortfolio/growth-project-backend/blob/c23b9d9f3fcc106b92c061ceb7d04d7ec53038d7/.github/workflows/r100-quality-gate.yml" TargetMode="External"/><Relationship Id="rId44" Type="http://schemas.openxmlformats.org/officeDocument/2006/relationships/hyperlink" Target="https://github.com/BradleyGleavePortfolio/tgp-agent-context/blob/54749b99427b91f4dd0c0026893bd6333a70d7d0/handoffs/op81/evidence/pr524-r0/audit-a/REPORT.md" TargetMode="External"/><Relationship Id="rId45" Type="http://schemas.openxmlformats.org/officeDocument/2006/relationships/hyperlink" Target="https://github.com/BradleyGleavePortfolio/tgp-agent-context/blob/54749b99427b91f4dd0c0026893bd6333a70d7d0/handoffs/op81/evidence/pr524-r0/audit-a/REPORT.md" TargetMode="External"/><Relationship Id="rId46" Type="http://schemas.openxmlformats.org/officeDocument/2006/relationships/hyperlink" Target="https://github.com/BradleyGleavePortfolio/growth-project-backend/blob/c23b9d9f3fcc106b92c061ceb7d04d7ec53038d7/.github/workflows/codeql.yml" TargetMode="External"/><Relationship Id="rId47" Type="http://schemas.openxmlformats.org/officeDocument/2006/relationships/hyperlink" Target="https://github.com/BradleyGleavePortfolio/tgp-agent-context/blob/2ead9b05e967713201c03619b564a3db4cadea35/AGENT_RULES.md" TargetMode="External"/><Relationship Id="rId48" Type="http://schemas.openxmlformats.org/officeDocument/2006/relationships/hyperlink" Target="https://github.com/BradleyGleavePortfolio/growth-project-backend/pull/524" TargetMode="External"/><Relationship Id="rId49" Type="http://schemas.openxmlformats.org/officeDocument/2006/relationships/hyperlink" Target="https://github.com/BradleyGleavePortfolio/tgp-agent-context/blob/54749b99427b91f4dd0c0026893bd6333a70d7d0/handoffs/op81/evidence/pr524-r0/audit-a/REPORT.md" TargetMode="External"/><Relationship Id="rId50" Type="http://schemas.openxmlformats.org/officeDocument/2006/relationships/hyperlink" Target="https://github.com/BradleyGleavePortfolio/growth-project-backend/blob/c23b9d9f3fcc106b92c061ceb7d04d7ec53038d7/.github/workflows/sbom.yml" TargetMode="External"/><Relationship Id="rId51" Type="http://schemas.openxmlformats.org/officeDocument/2006/relationships/hyperlink" Target="https://github.com/BradleyGleavePortfolio/tgp-agent-context/blob/54749b99427b91f4dd0c0026893bd6333a70d7d0/handoffs/op81/RECOVERY_MANIFEST.md" TargetMode="External"/><Relationship Id="rId52" Type="http://schemas.openxmlformats.org/officeDocument/2006/relationships/hyperlink" Target="https://github.com/BradleyGleavePortfolio/tgp-agent-context/blob/54749b99427b91f4dd0c0026893bd6333a70d7d0/handoffs/op81/EXECUTION_CHECKPOINT.md" TargetMode="External"/><Relationship Id="rId53" Type="http://schemas.openxmlformats.org/officeDocument/2006/relationships/hyperlink" Target="https://github.com/BradleyGleavePortfolio/growth-project-backend/blob/c23b9d9f3fcc106b92c061ceb7d04d7ec53038d7/.github/workflows/fly-deploy.yml" TargetMode="External"/><Relationship Id="rId54" Type="http://schemas.openxmlformats.org/officeDocument/2006/relationships/hyperlink" Target="https://github.com/BradleyGleavePortfolio/tgp-agent-context/blob/2ead9b05e967713201c03619b564a3db4cadea35/handoffs/importer-wave/current-state.json" TargetMode="External"/><Relationship Id="rId55" Type="http://schemas.openxmlformats.org/officeDocument/2006/relationships/hyperlink" Target="https://github.com/BradleyGleavePortfolio/tgp-agent-context/blob/2ead9b05e967713201c03619b564a3db4cadea35/AGENT_RULES.md" TargetMode="External"/><Relationship Id="rId56" Type="http://schemas.openxmlformats.org/officeDocument/2006/relationships/hyperlink" Target="https://github.com/BradleyGleavePortfolio/tgp-agent-context/blob/2ead9b05e967713201c03619b564a3db4cadea35/handoffs/importer-wave/R3_MERGE_RUNBOOK.md" TargetMode="External"/><Relationship Id="rId57" Type="http://schemas.openxmlformats.org/officeDocument/2006/relationships/hyperlink" Target="https://github.com/BradleyGleavePortfolio/tgp-agent-context/blob/2ead9b05e967713201c03619b564a3db4cadea35/handoffs/op81/AUDIT_AND_PUBLICATION_RECORD.md" TargetMode="External"/><Relationship Id="rId58" Type="http://schemas.openxmlformats.org/officeDocument/2006/relationships/hyperlink" Target="https://github.com/BradleyGleavePortfolio/tgp-agent-context/blob/2ead9b05e967713201c03619b564a3db4cadea35/handoffs/op81/CONTINUATION_AND_ROMAN_IMPORT_PLAN.md" TargetMode="External"/><Relationship Id="rId59" Type="http://schemas.openxmlformats.org/officeDocument/2006/relationships/hyperlink" Target="https://github.com/BradleyGleavePortfolio/growth-project-backend/pull/522" TargetMode="External"/><Relationship Id="rId60" Type="http://schemas.openxmlformats.org/officeDocument/2006/relationships/hyperlink" Target="https://github.com/BradleyGleavePortfolio/tgp-importer-extension/pull/23" TargetMode="External"/><Relationship Id="rId61" Type="http://schemas.openxmlformats.org/officeDocument/2006/relationships/hyperlink" Target="https://github.com/BradleyGleavePortfolio/growth-project-mobile/pull/290" TargetMode="External"/><Relationship Id="rId62" Type="http://schemas.openxmlformats.org/officeDocument/2006/relationships/hyperlink" Target="https://github.com/BradleyGleavePortfolio/growth-project-mobile/pull/291" TargetMode="External"/><Relationship Id="rId63" Type="http://schemas.openxmlformats.org/officeDocument/2006/relationships/hyperlink" Target="https://github.com/BradleyGleavePortfolio/growth-project-mobile/pull/292" TargetMode="External"/><Relationship Id="rId64" Type="http://schemas.openxmlformats.org/officeDocument/2006/relationships/hyperlink" Target="https://github.com/BradleyGleavePortfolio/tgp-agent-context/blob/2ead9b05e967713201c03619b564a3db4cadea35/AGENT_RULES.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2026-09-18T16:35:06.224Z</dcterms:created>
  <dcterms:modified xsi:type="dcterms:W3CDTF">2026-09-18T16:35:06.224Z</dcterms:modified>
</cp:coreProperties>
</file>