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6" w:space="1" w:color="28629E"/>
        </w:pBdr>
      </w:pPr>
    </w:p>
    <w:p>
      <w:pPr>
        <w:spacing w:before="600"/>
        <w:jc w:val="center"/>
      </w:pPr>
      <w:r>
        <w:rPr>
          <w:b/>
          <w:color w:val="182A43"/>
          <w:sz w:val="72"/>
        </w:rPr>
        <w:t>T0-T4</w:t>
      </w:r>
    </w:p>
    <w:p>
      <w:pPr>
        <w:jc w:val="center"/>
      </w:pPr>
      <w:r>
        <w:rPr>
          <w:b/>
          <w:color w:val="28629E"/>
          <w:sz w:val="38"/>
        </w:rPr>
        <w:t>PR / Slice Grading &amp; AI Model Routing Doctrine</w:t>
      </w:r>
    </w:p>
    <w:p>
      <w:pPr>
        <w:spacing w:after="280"/>
        <w:jc w:val="center"/>
      </w:pPr>
      <w:r>
        <w:rPr>
          <w:i/>
          <w:color w:val="515B68"/>
          <w:sz w:val="21"/>
        </w:rPr>
        <w:t>A deterministic system for grading engineering work and assigning the correct coding agent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82A43"/>
                <w:sz w:val="21"/>
              </w:rPr>
              <w:t>PRIMARY OBJECTIVE</w:t>
            </w:r>
          </w:p>
          <w:p>
            <w:pPr>
              <w:spacing w:after="0"/>
            </w:pPr>
            <w:r>
              <w:rPr>
                <w:color w:val="1E2023"/>
                <w:sz w:val="18"/>
              </w:rPr>
              <w:t>Minimize expected wall-clock time to a correct, integrated customer outcome. Credit usage is secondary. The tier controls the default builder. No operator may downgrade a task merely because it 'looks easy' or because a cheaper model is available.</w:t>
            </w:r>
          </w:p>
        </w:tc>
      </w:tr>
    </w:tbl>
    <w:p>
      <w:pPr>
        <w:spacing w:before="320"/>
        <w:jc w:val="center"/>
      </w:pPr>
      <w:r>
        <w:rPr>
          <w:b/>
          <w:color w:val="182A43"/>
          <w:sz w:val="26"/>
        </w:rPr>
        <w:t>CLASSIFY FIRST. ROUTE SECOND. EXECUTE THIRD.</w:t>
      </w:r>
    </w:p>
    <w:p>
      <w:r>
        <w:br w:type="page"/>
      </w:r>
    </w:p>
    <w:p>
      <w:pPr>
        <w:spacing w:before="200" w:after="100"/>
        <w:pBdr>
          <w:bottom w:val="single" w:sz="8" w:space="1" w:color="DCE6F1"/>
        </w:pBdr>
      </w:pPr>
      <w:r>
        <w:rPr>
          <w:b/>
          <w:color w:val="182A43"/>
          <w:sz w:val="30"/>
        </w:rPr>
        <w:t>1. Core Rule</w:t>
      </w:r>
    </w:p>
    <w:p>
      <w:r>
        <w:t>Every PR and every independently executable slice MUST be graded T0, T1, T2, T3, or T4 before implementation begins. The grade is based on consequence, ambiguity, system reach, and irreversibility — not diff size, estimated LOC, or subjective importance.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FE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82A43"/>
                <w:sz w:val="21"/>
              </w:rPr>
              <w:t>MAX-TIER RULE</w:t>
            </w:r>
          </w:p>
          <w:p>
            <w:pPr>
              <w:spacing w:after="0"/>
            </w:pPr>
            <w:r>
              <w:rPr>
                <w:color w:val="1E2023"/>
                <w:sz w:val="18"/>
              </w:rPr>
              <w:t>A task receives the HIGHEST tier triggered by any material part of the change. A 2-line authorization change is T4. A 300-line isolated presentation component may still be T1. Size never lowers consequence.</w:t>
            </w:r>
          </w:p>
        </w:tc>
      </w:tr>
    </w:tbl>
    <w:p>
      <w:pPr>
        <w:spacing w:before="140" w:after="60"/>
      </w:pPr>
      <w:r>
        <w:rPr>
          <w:b/>
          <w:color w:val="28629E"/>
          <w:sz w:val="23"/>
        </w:rPr>
        <w:t>1.1 Canonical builder routing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shd w:fill="203A5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2056"/>
            <w:shd w:fill="203A5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Canonical builder</w:t>
            </w:r>
          </w:p>
        </w:tc>
        <w:tc>
          <w:tcPr>
            <w:tcW w:type="dxa" w:w="2056"/>
            <w:shd w:fill="203A5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Reasoning</w:t>
            </w:r>
          </w:p>
        </w:tc>
        <w:tc>
          <w:tcPr>
            <w:tcW w:type="dxa" w:w="2056"/>
            <w:shd w:fill="203A5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Typical work</w:t>
            </w:r>
          </w:p>
        </w:tc>
        <w:tc>
          <w:tcPr>
            <w:tcW w:type="dxa" w:w="2056"/>
            <w:shd w:fill="203A5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Substitution rule</w:t>
            </w:r>
          </w:p>
        </w:tc>
      </w:tr>
      <w:tr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182A43"/>
                <w:sz w:val="16"/>
              </w:rPr>
              <w:t>T0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GPT-5.6 Luna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Non-behavioral / mechanical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No stronger model by default; stronger allowed only if bundled with higher-tier parent work.</w:t>
            </w:r>
          </w:p>
        </w:tc>
      </w:tr>
      <w:tr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b/>
                <w:color w:val="182A43"/>
                <w:sz w:val="16"/>
              </w:rPr>
              <w:t>T1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GPT-5.6 Terra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Formally bounded implementation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Kimi K3 may be used as bounded parallel overflow; no downgrade below canonical for critical-path work.</w:t>
            </w:r>
          </w:p>
        </w:tc>
      </w:tr>
      <w:tr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182A43"/>
                <w:sz w:val="16"/>
              </w:rPr>
              <w:t>T2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Claude Sonnet 5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Meaningful product behavior within established architecture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No cheaper primary substitute solely for credit savings.</w:t>
            </w:r>
          </w:p>
        </w:tc>
      </w:tr>
      <w:tr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b/>
                <w:color w:val="182A43"/>
                <w:sz w:val="16"/>
              </w:rPr>
              <w:t>T3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Claude Opus 5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XHigh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Shared architecture / high-entropy engineering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Parent ownership stays Opus even if bounded child tasks are delegated downward.</w:t>
            </w:r>
          </w:p>
        </w:tc>
      </w:tr>
      <w:tr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182A43"/>
                <w:sz w:val="16"/>
              </w:rPr>
              <w:t>T4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Claude Fable 5.1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Critical correctness boundaries</w:t>
            </w:r>
          </w:p>
        </w:tc>
        <w:tc>
          <w:tcPr>
            <w:tcW w:type="dxa" w:w="2056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No downward substitution. Strongest available equivalent may replace only by explicit doctrine update.</w:t>
            </w:r>
          </w:p>
        </w:tc>
      </w:tr>
    </w:tbl>
    <w:p>
      <w:r>
        <w:rPr>
          <w:b/>
        </w:rPr>
        <w:t xml:space="preserve">Important: </w:t>
      </w:r>
      <w:r>
        <w:t>Model names above are the current proposed routing policy for TGP. If the tool stack changes, update this table explicitly; do not let individual agents invent local substitutions.</w:t>
      </w:r>
    </w:p>
    <w:p>
      <w:pPr>
        <w:spacing w:before="200" w:after="100"/>
        <w:pBdr>
          <w:bottom w:val="single" w:sz="8" w:space="1" w:color="DCE6F1"/>
        </w:pBdr>
      </w:pPr>
      <w:r>
        <w:rPr>
          <w:b/>
          <w:color w:val="182A43"/>
          <w:sz w:val="30"/>
        </w:rPr>
        <w:t>2. Definitive PR / Slice Grading Procedure</w:t>
      </w:r>
    </w:p>
    <w:p>
      <w:r>
        <w:t>Grade the work by running the following decision tree in order. The first applicable higher-tier trigger wins. If uncertain between two tiers, choose the higher tier until evidence proves the lower classification.</w:t>
      </w:r>
    </w:p>
    <w:p>
      <w:pPr>
        <w:pStyle w:val="ListNumber"/>
        <w:spacing w:after="50"/>
      </w:pPr>
      <w:r>
        <w:t>STEP 1 — T4 trigger scan. Does the change alter a critical correctness boundary? If YES: T4. Stop grading.</w:t>
      </w:r>
    </w:p>
    <w:p>
      <w:pPr>
        <w:pStyle w:val="ListNumber"/>
        <w:spacing w:after="50"/>
      </w:pPr>
      <w:r>
        <w:t>STEP 2 — T3 trigger scan. Does the change require system-boundary, ownership, architecture, lifecycle, or cross-domain design decisions? If YES: T3.</w:t>
      </w:r>
    </w:p>
    <w:p>
      <w:pPr>
        <w:pStyle w:val="ListNumber"/>
        <w:spacing w:after="50"/>
      </w:pPr>
      <w:r>
        <w:t>STEP 3 — T2 trigger scan. Does it create/change meaningful runtime product behavior or require nontrivial debugging/engineering judgment inside an established architecture? If YES: T2.</w:t>
      </w:r>
    </w:p>
    <w:p>
      <w:pPr>
        <w:pStyle w:val="ListNumber"/>
        <w:spacing w:after="50"/>
      </w:pPr>
      <w:r>
        <w:t>STEP 4 — T1 boundedness test. Does it change runtime behavior, but satisfy EVERY bounded-task criterion? If YES: T1.</w:t>
      </w:r>
    </w:p>
    <w:p>
      <w:pPr>
        <w:pStyle w:val="ListNumber"/>
        <w:spacing w:after="50"/>
      </w:pPr>
      <w:r>
        <w:t>STEP 5 — T0 test. If it changes no runtime behavior, no contracts, no persisted data, no privilege, and is mechanically reversible/verifiable: T0.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4E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82A43"/>
                <w:sz w:val="21"/>
              </w:rPr>
              <w:t>NO AVERAGING</w:t>
            </w:r>
          </w:p>
          <w:p>
            <w:pPr>
              <w:spacing w:after="0"/>
            </w:pPr>
            <w:r>
              <w:rPr>
                <w:color w:val="1E2023"/>
                <w:sz w:val="18"/>
              </w:rPr>
              <w:t>Do not average risk across a PR. If 95% is T1 and 5% touches payout ledger correctness, the PR is T4 unless the T4 piece is separated into its own slice.</w:t>
            </w:r>
          </w:p>
        </w:tc>
      </w:tr>
    </w:tbl>
    <w:p>
      <w:pPr>
        <w:spacing w:before="200" w:after="100"/>
        <w:pBdr>
          <w:bottom w:val="single" w:sz="8" w:space="1" w:color="DCE6F1"/>
        </w:pBdr>
      </w:pPr>
      <w:r>
        <w:rPr>
          <w:b/>
          <w:color w:val="182A43"/>
          <w:sz w:val="30"/>
        </w:rPr>
        <w:t>3. T4 — Critical Correctness Boundary</w:t>
      </w:r>
    </w:p>
    <w:p>
      <w:r>
        <w:t>T4 is defined by consequence, not difficulty. Any material error can expose customers, money, secrets, tenant boundaries, irreversible data, or recovery guarantees.</w:t>
      </w:r>
    </w:p>
    <w:p>
      <w:pPr>
        <w:pStyle w:val="ListBullet"/>
        <w:spacing w:after="50"/>
      </w:pPr>
      <w:r>
        <w:t>Authentication, authorization, session trust, permission evaluation, role/ownership enforcement.</w:t>
      </w:r>
    </w:p>
    <w:p>
      <w:pPr>
        <w:pStyle w:val="ListBullet"/>
        <w:spacing w:after="50"/>
      </w:pPr>
      <w:r>
        <w:t>RLS, tenancy isolation, cross-tenant access, organization boundaries.</w:t>
      </w:r>
    </w:p>
    <w:p>
      <w:pPr>
        <w:pStyle w:val="ListBullet"/>
        <w:spacing w:after="50"/>
      </w:pPr>
      <w:r>
        <w:t>Credentials, secrets, signing keys, token handling, cryptographic trust.</w:t>
      </w:r>
    </w:p>
    <w:p>
      <w:pPr>
        <w:pStyle w:val="ListBullet"/>
        <w:spacing w:after="50"/>
      </w:pPr>
      <w:r>
        <w:t>PII, health/sensitive data controls, privacy enforcement, deletion/export guarantees.</w:t>
      </w:r>
    </w:p>
    <w:p>
      <w:pPr>
        <w:pStyle w:val="ListBullet"/>
        <w:spacing w:after="50"/>
      </w:pPr>
      <w:r>
        <w:t>Money correctness: balances, fees, payouts, refunds, disputes, settlement, ledgers, reconciliation.</w:t>
      </w:r>
    </w:p>
    <w:p>
      <w:pPr>
        <w:pStyle w:val="ListBullet"/>
        <w:spacing w:after="50"/>
      </w:pPr>
      <w:r>
        <w:t>Destructive or irreversible data mutation; production deletion; irreversible migrations.</w:t>
      </w:r>
    </w:p>
    <w:p>
      <w:pPr>
        <w:pStyle w:val="ListBullet"/>
        <w:spacing w:after="50"/>
      </w:pPr>
      <w:r>
        <w:t>Backup/restore, disaster recovery, canonical source-of-truth recovery.</w:t>
      </w:r>
    </w:p>
    <w:p>
      <w:pPr>
        <w:pStyle w:val="ListBullet"/>
        <w:spacing w:after="50"/>
      </w:pPr>
      <w:r>
        <w:t>Security enforcement, trust policy, privileged production actions.</w:t>
      </w:r>
    </w:p>
    <w:p>
      <w:pPr>
        <w:spacing w:before="140" w:after="60"/>
      </w:pPr>
      <w:r>
        <w:rPr>
          <w:b/>
          <w:color w:val="28629E"/>
          <w:sz w:val="23"/>
        </w:rPr>
        <w:t>T4 grading examples</w:t>
      </w:r>
    </w:p>
    <w:p>
      <w:pPr>
        <w:pStyle w:val="ListBullet"/>
        <w:spacing w:after="50"/>
      </w:pPr>
      <w:r>
        <w:t>Change a Stripe/Adyen fee calculation by one line → T4.</w:t>
      </w:r>
    </w:p>
    <w:p>
      <w:pPr>
        <w:pStyle w:val="ListBullet"/>
        <w:spacing w:after="50"/>
      </w:pPr>
      <w:r>
        <w:t>Change tenant scoping in a repository query → T4.</w:t>
      </w:r>
    </w:p>
    <w:p>
      <w:pPr>
        <w:pStyle w:val="ListBullet"/>
        <w:spacing w:after="50"/>
      </w:pPr>
      <w:r>
        <w:t>Modify account deletion semantics → T4.</w:t>
      </w:r>
    </w:p>
    <w:p>
      <w:pPr>
        <w:pStyle w:val="ListBullet"/>
        <w:spacing w:after="50"/>
      </w:pPr>
      <w:r>
        <w:t>Rename a CSS class in the payments screen without changing behavior → not T4; classify normally.</w:t>
      </w:r>
    </w:p>
    <w:p>
      <w:pPr>
        <w:spacing w:before="200" w:after="100"/>
        <w:pBdr>
          <w:bottom w:val="single" w:sz="8" w:space="1" w:color="DCE6F1"/>
        </w:pBdr>
      </w:pPr>
      <w:r>
        <w:rPr>
          <w:b/>
          <w:color w:val="182A43"/>
          <w:sz w:val="30"/>
        </w:rPr>
        <w:t>4. T3 — Shared Architecture / High-Entropy Engineering</w:t>
      </w:r>
    </w:p>
    <w:p>
      <w:r>
        <w:t>T3 applies when the implementation cannot be fully specified without first deciding system boundaries, ownership, lifecycle, contracts, or multi-subsystem behavior.</w:t>
      </w:r>
    </w:p>
    <w:p>
      <w:pPr>
        <w:pStyle w:val="ListBullet"/>
        <w:spacing w:after="50"/>
      </w:pPr>
      <w:r>
        <w:t>Creates or materially changes a shared abstraction or platform primitive.</w:t>
      </w:r>
    </w:p>
    <w:p>
      <w:pPr>
        <w:pStyle w:val="ListBullet"/>
        <w:spacing w:after="50"/>
      </w:pPr>
      <w:r>
        <w:t>Changes a contract consumed by multiple major domains.</w:t>
      </w:r>
    </w:p>
    <w:p>
      <w:pPr>
        <w:pStyle w:val="ListBullet"/>
        <w:spacing w:after="50"/>
      </w:pPr>
      <w:r>
        <w:t>Spans backend + mobile + importer and requires deciding authoritative ownership.</w:t>
      </w:r>
    </w:p>
    <w:p>
      <w:pPr>
        <w:pStyle w:val="ListBullet"/>
        <w:spacing w:after="50"/>
      </w:pPr>
      <w:r>
        <w:t>Changes lifecycle, idempotency, replay, retry, reconciliation, or concurrency semantics across components.</w:t>
      </w:r>
    </w:p>
    <w:p>
      <w:pPr>
        <w:pStyle w:val="ListBullet"/>
        <w:spacing w:after="50"/>
      </w:pPr>
      <w:r>
        <w:t>Requires choosing where state authority lives.</w:t>
      </w:r>
    </w:p>
    <w:p>
      <w:pPr>
        <w:pStyle w:val="ListBullet"/>
        <w:spacing w:after="50"/>
      </w:pPr>
      <w:r>
        <w:t>Introduces a new infrastructure primitive or changes a core shared service boundary.</w:t>
      </w:r>
    </w:p>
    <w:p>
      <w:pPr>
        <w:pStyle w:val="ListBullet"/>
        <w:spacing w:after="50"/>
      </w:pPr>
      <w:r>
        <w:t>Root cause / blast radius is not initially known and requires broad repository archaeology.</w:t>
      </w:r>
    </w:p>
    <w:p>
      <w:pPr>
        <w:pStyle w:val="ListBullet"/>
        <w:spacing w:after="50"/>
      </w:pPr>
      <w:r>
        <w:t>A fix in one subsystem can invalidate assumptions in multiple other subsystems.</w:t>
      </w:r>
    </w:p>
    <w:p>
      <w:pPr>
        <w:spacing w:before="140" w:after="60"/>
      </w:pPr>
      <w:r>
        <w:rPr>
          <w:b/>
          <w:color w:val="28629E"/>
          <w:sz w:val="23"/>
        </w:rPr>
        <w:t>T3 examples</w:t>
      </w:r>
    </w:p>
    <w:p>
      <w:pPr>
        <w:pStyle w:val="ListBullet"/>
        <w:spacing w:after="50"/>
      </w:pPr>
      <w:r>
        <w:t>Decide whether importer run state is authoritative in extension, backend, or mobile → T3.</w:t>
      </w:r>
    </w:p>
    <w:p>
      <w:pPr>
        <w:pStyle w:val="ListBullet"/>
        <w:spacing w:after="50"/>
      </w:pPr>
      <w:r>
        <w:t>Replace a shared event/retry model consumed by multiple domains → T3.</w:t>
      </w:r>
    </w:p>
    <w:p>
      <w:pPr>
        <w:pStyle w:val="ListBullet"/>
        <w:spacing w:after="50"/>
      </w:pPr>
      <w:r>
        <w:t>Architect a new cross-repo contract and migration path → T3.</w:t>
      </w:r>
    </w:p>
    <w:p>
      <w:pPr>
        <w:spacing w:before="200" w:after="100"/>
        <w:pBdr>
          <w:bottom w:val="single" w:sz="8" w:space="1" w:color="DCE6F1"/>
        </w:pBdr>
      </w:pPr>
      <w:r>
        <w:rPr>
          <w:b/>
          <w:color w:val="182A43"/>
          <w:sz w:val="30"/>
        </w:rPr>
        <w:t>5. T2 — Meaningful Product Behavior</w:t>
      </w:r>
    </w:p>
    <w:p>
      <w:r>
        <w:t>T2 is normal substantial engineering: meaningful behavior changes inside an already-established architecture. The worker may decide HOW to implement the accepted behavior, but should not redefine the system's fundamental ownership or contract model.</w:t>
      </w:r>
    </w:p>
    <w:p>
      <w:pPr>
        <w:pStyle w:val="ListBullet"/>
        <w:spacing w:after="50"/>
      </w:pPr>
      <w:r>
        <w:t>New user-visible feature behavior using existing platform patterns.</w:t>
      </w:r>
    </w:p>
    <w:p>
      <w:pPr>
        <w:pStyle w:val="ListBullet"/>
        <w:spacing w:after="50"/>
      </w:pPr>
      <w:r>
        <w:t>Nontrivial state transitions contained inside one established subsystem.</w:t>
      </w:r>
    </w:p>
    <w:p>
      <w:pPr>
        <w:pStyle w:val="ListBullet"/>
        <w:spacing w:after="50"/>
      </w:pPr>
      <w:r>
        <w:t>Multi-file implementation requiring judgment but no new shared architecture.</w:t>
      </w:r>
    </w:p>
    <w:p>
      <w:pPr>
        <w:pStyle w:val="ListBullet"/>
        <w:spacing w:after="50"/>
      </w:pPr>
      <w:r>
        <w:t>Debugging where root cause is unknown but expected to remain local.</w:t>
      </w:r>
    </w:p>
    <w:p>
      <w:pPr>
        <w:pStyle w:val="ListBullet"/>
        <w:spacing w:after="50"/>
      </w:pPr>
      <w:r>
        <w:t>New endpoint behavior inside an existing service pattern.</w:t>
      </w:r>
    </w:p>
    <w:p>
      <w:pPr>
        <w:pStyle w:val="ListBullet"/>
        <w:spacing w:after="50"/>
      </w:pPr>
      <w:r>
        <w:t>Importer reconstruction for an already-defined entity model.</w:t>
      </w:r>
    </w:p>
    <w:p>
      <w:pPr>
        <w:pStyle w:val="ListBullet"/>
        <w:spacing w:after="50"/>
      </w:pPr>
      <w:r>
        <w:t>Moderate refactor contained within one subsystem.</w:t>
      </w:r>
    </w:p>
    <w:p>
      <w:pPr>
        <w:pStyle w:val="ListBullet"/>
        <w:spacing w:after="50"/>
      </w:pPr>
      <w:r>
        <w:t>Mobile/backend integration using established interfaces.</w:t>
      </w:r>
    </w:p>
    <w:p>
      <w:pPr>
        <w:spacing w:before="200" w:after="100"/>
        <w:pBdr>
          <w:bottom w:val="single" w:sz="8" w:space="1" w:color="DCE6F1"/>
        </w:pBdr>
      </w:pPr>
      <w:r>
        <w:rPr>
          <w:b/>
          <w:color w:val="182A43"/>
          <w:sz w:val="30"/>
        </w:rPr>
        <w:t>6. T1 — Formally Bounded Implementation</w:t>
      </w:r>
    </w:p>
    <w:p>
      <w:r>
        <w:t>T1 exists only when the work changes runtime behavior AND all bounded-task requirements are satisfied before dispatch.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203A5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3427"/>
            <w:shd w:fill="203A5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Required condition</w:t>
            </w:r>
          </w:p>
        </w:tc>
        <w:tc>
          <w:tcPr>
            <w:tcW w:type="dxa" w:w="3427"/>
            <w:shd w:fill="203A5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If false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sz w:val="16"/>
              </w:rPr>
              <w:t>Outcome bounded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One explicit behavioral outcome is stated.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color w:val="B03232"/>
                <w:sz w:val="16"/>
              </w:rPr>
              <w:t>NOT T1 — promote and re-grade.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b/>
                <w:sz w:val="16"/>
              </w:rPr>
              <w:t>Surface bounded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Expected subsystem/module and likely implementation area are identified.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color w:val="B03232"/>
                <w:sz w:val="16"/>
              </w:rPr>
              <w:t>NOT T1 — promote and re-grade.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sz w:val="16"/>
              </w:rPr>
              <w:t>Contract bounded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Inputs, outputs, invariants, and failure behavior are already known.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color w:val="B03232"/>
                <w:sz w:val="16"/>
              </w:rPr>
              <w:t>NOT T1 — promote and re-grade.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b/>
                <w:sz w:val="16"/>
              </w:rPr>
              <w:t>Dependency bounded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No new cross-system dependency or architecture must be invented.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color w:val="B03232"/>
                <w:sz w:val="16"/>
              </w:rPr>
              <w:t>NOT T1 — promote and re-grade.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sz w:val="16"/>
              </w:rPr>
              <w:t>Decision bounded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Product and architectural decisions are already made; worker executes them.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color w:val="B03232"/>
                <w:sz w:val="16"/>
              </w:rPr>
              <w:t>NOT T1 — promote and re-grade.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b/>
                <w:sz w:val="16"/>
              </w:rPr>
              <w:t>Blast-radius bounded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Failure stays local and is cleanly reversible.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color w:val="B03232"/>
                <w:sz w:val="16"/>
              </w:rPr>
              <w:t>NOT T1 — promote and re-grade.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sz w:val="16"/>
              </w:rPr>
              <w:t>Verification bounded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Objective pass/fail checks can prove the requested behavior.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color w:val="B03232"/>
                <w:sz w:val="16"/>
              </w:rPr>
              <w:t>NOT T1 — promote and re-grade.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b/>
                <w:sz w:val="16"/>
              </w:rPr>
              <w:t>Privilege bounded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No auth, tenancy, credentials, PII, money, destructive, or other T4 boundary.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color w:val="B03232"/>
                <w:sz w:val="16"/>
              </w:rPr>
              <w:t>NOT T1 — promote and re-grade.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sz w:val="16"/>
              </w:rPr>
              <w:t>Data bounded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No irreversible migration or reinterpretation of existing persisted data.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color w:val="B03232"/>
                <w:sz w:val="16"/>
              </w:rPr>
              <w:t>NOT T1 — promote and re-grade.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b/>
                <w:sz w:val="16"/>
              </w:rPr>
              <w:t>Discovery bounded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A competent worker does not need broad repository archaeology to discover what should be built.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color w:val="B03232"/>
                <w:sz w:val="16"/>
              </w:rPr>
              <w:t>NOT T1 — promote and re-grade.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4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82A43"/>
                <w:sz w:val="21"/>
              </w:rPr>
              <w:t>FORMAL DEFINITION OF BOUNDED</w:t>
            </w:r>
          </w:p>
          <w:p>
            <w:pPr>
              <w:spacing w:after="0"/>
            </w:pPr>
            <w:r>
              <w:rPr>
                <w:color w:val="1E2023"/>
                <w:sz w:val="18"/>
              </w:rPr>
              <w:t>A task is bounded only when ALL ten criteria above are true. 'Small', 'easy', 'few files', 'low LOC', 'obvious to me', or 'probably safe' are NOT boundedness criteria.</w:t>
            </w:r>
          </w:p>
        </w:tc>
      </w:tr>
    </w:tbl>
    <w:p>
      <w:pPr>
        <w:spacing w:before="140" w:after="60"/>
      </w:pPr>
      <w:r>
        <w:rPr>
          <w:b/>
          <w:color w:val="28629E"/>
          <w:sz w:val="23"/>
        </w:rPr>
        <w:t>T1 examples</w:t>
      </w:r>
    </w:p>
    <w:p>
      <w:pPr>
        <w:pStyle w:val="ListBullet"/>
        <w:spacing w:after="50"/>
      </w:pPr>
      <w:r>
        <w:t>Add an already-defined field to a DTO and propagate it through known consumers with explicit tests → T1.</w:t>
      </w:r>
    </w:p>
    <w:p>
      <w:pPr>
        <w:pStyle w:val="ListBullet"/>
        <w:spacing w:after="50"/>
      </w:pPr>
      <w:r>
        <w:t>Implement adapter B using adapter A as the mandated pattern, with fixed inputs/outputs → T1.</w:t>
      </w:r>
    </w:p>
    <w:p>
      <w:pPr>
        <w:pStyle w:val="ListBullet"/>
        <w:spacing w:after="50"/>
      </w:pPr>
      <w:r>
        <w:t>Update deterministic generated client types and known call sites after an already-approved contract change → T1.</w:t>
      </w:r>
    </w:p>
    <w:p>
      <w:pPr>
        <w:pStyle w:val="ListBullet"/>
        <w:spacing w:after="50"/>
      </w:pPr>
      <w:r>
        <w:t>Investigate why identities collide and decide the correct identity model → NOT T1; likely T3.</w:t>
      </w:r>
    </w:p>
    <w:p>
      <w:pPr>
        <w:spacing w:before="200" w:after="100"/>
        <w:pBdr>
          <w:bottom w:val="single" w:sz="8" w:space="1" w:color="DCE6F1"/>
        </w:pBdr>
      </w:pPr>
      <w:r>
        <w:rPr>
          <w:b/>
          <w:color w:val="182A43"/>
          <w:sz w:val="30"/>
        </w:rPr>
        <w:t>7. T0 — Mechanical / Non-Behavioral</w:t>
      </w:r>
    </w:p>
    <w:p>
      <w:r>
        <w:t>T0 is work that cannot alter runtime product behavior and is mechanically verifiable and reversible.</w:t>
      </w:r>
    </w:p>
    <w:p>
      <w:pPr>
        <w:pStyle w:val="ListBullet"/>
        <w:spacing w:after="50"/>
      </w:pPr>
      <w:r>
        <w:t>Documentation, comments, spelling/grammar, formatting.</w:t>
      </w:r>
    </w:p>
    <w:p>
      <w:pPr>
        <w:pStyle w:val="ListBullet"/>
        <w:spacing w:after="50"/>
      </w:pPr>
      <w:r>
        <w:t>Purely cosmetic non-behavioral UI changes where interaction/accessibility semantics are unchanged.</w:t>
      </w:r>
    </w:p>
    <w:p>
      <w:pPr>
        <w:pStyle w:val="ListBullet"/>
        <w:spacing w:after="50"/>
      </w:pPr>
      <w:r>
        <w:t>Deterministic rename with validated references and no public-contract change.</w:t>
      </w:r>
    </w:p>
    <w:p>
      <w:pPr>
        <w:pStyle w:val="ListBullet"/>
        <w:spacing w:after="50"/>
      </w:pPr>
      <w:r>
        <w:t>Generated metadata refresh when generation logic is unchanged.</w:t>
      </w:r>
    </w:p>
    <w:p>
      <w:pPr>
        <w:pStyle w:val="ListBullet"/>
        <w:spacing w:after="50"/>
      </w:pPr>
      <w:r>
        <w:t>Test-description cleanup that does not alter assertions or runtime fixtures.</w:t>
      </w:r>
    </w:p>
    <w:p>
      <w:r>
        <w:rPr>
          <w:b/>
        </w:rPr>
        <w:t xml:space="preserve">Disqualifiers: </w:t>
      </w:r>
      <w:r>
        <w:t>runtime behavior, schema/contract change, persisted data, privilege, build/release semantics, security, money, or any unclear behavioral consequence.</w:t>
      </w:r>
    </w:p>
    <w:p>
      <w:r>
        <w:br w:type="page"/>
      </w:r>
    </w:p>
    <w:p>
      <w:pPr>
        <w:spacing w:before="200" w:after="100"/>
        <w:pBdr>
          <w:bottom w:val="single" w:sz="8" w:space="1" w:color="DCE6F1"/>
        </w:pBdr>
      </w:pPr>
      <w:r>
        <w:rPr>
          <w:b/>
          <w:color w:val="182A43"/>
          <w:sz w:val="30"/>
        </w:rPr>
        <w:t>8. Grade Slices Before PRs — Then Grade the PR</w:t>
      </w:r>
    </w:p>
    <w:p>
      <w:r>
        <w:t>A PR can contain multiple slices, but each slice must be independently graded first. The PR's grade equals the highest slice grade it contains.</w:t>
      </w:r>
    </w:p>
    <w:p>
      <w:pPr>
        <w:pStyle w:val="ListBullet"/>
        <w:spacing w:after="50"/>
      </w:pPr>
      <w:r>
        <w:t>If a T4 slice can be cleanly separated from otherwise T1/T2 work, split it. This keeps expensive audit/model requirements focused.</w:t>
      </w:r>
    </w:p>
    <w:p>
      <w:pPr>
        <w:pStyle w:val="ListBullet"/>
        <w:spacing w:after="50"/>
      </w:pPr>
      <w:r>
        <w:t>Do NOT split purely to hide coupling. If two slices share one invariant or must land atomically, grade the combined unit at the higher tier.</w:t>
      </w:r>
    </w:p>
    <w:p>
      <w:pPr>
        <w:pStyle w:val="ListBullet"/>
        <w:spacing w:after="50"/>
      </w:pPr>
      <w:r>
        <w:t>If a supposedly T1 slice discovers a higher-tier concern during implementation, stop that slice, record the trigger, and re-grade before continuing.</w:t>
      </w:r>
    </w:p>
    <w:p>
      <w:pPr>
        <w:spacing w:before="140" w:after="60"/>
      </w:pPr>
      <w:r>
        <w:rPr>
          <w:b/>
          <w:color w:val="28629E"/>
          <w:sz w:val="23"/>
        </w:rPr>
        <w:t>8.1 Required grading record for every slice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82A43"/>
                <w:sz w:val="21"/>
              </w:rPr>
              <w:t>TIER HEADER — REQUIRED</w:t>
            </w:r>
          </w:p>
          <w:p>
            <w:pPr>
              <w:spacing w:after="0"/>
            </w:pPr>
            <w:r>
              <w:rPr>
                <w:color w:val="1E2023"/>
                <w:sz w:val="18"/>
              </w:rPr>
              <w:t>Tier: T#</w:t>
              <w:br/>
              <w:t>Why: [one-sentence consequence/complexity rationale]</w:t>
              <w:br/>
              <w:t>T4 trigger scan: [none / exact trigger]</w:t>
              <w:br/>
              <w:t>T3 trigger scan: [none / exact trigger]</w:t>
              <w:br/>
              <w:t>Bounded T1: [YES/NO + failed criteria if applicable]</w:t>
              <w:br/>
              <w:t>Canonical builder: [model]</w:t>
              <w:br/>
              <w:t>Parent owner: [model/operator if delegated]</w:t>
              <w:br/>
              <w:t>Acceptance evidence: [specific tests/checks/user outcome]</w:t>
              <w:br/>
              <w:t>Promotion triggers: [what would force re-grade]</w:t>
            </w:r>
          </w:p>
        </w:tc>
      </w:tr>
    </w:tbl>
    <w:p>
      <w:pPr>
        <w:spacing w:before="200" w:after="100"/>
        <w:pBdr>
          <w:bottom w:val="single" w:sz="8" w:space="1" w:color="DCE6F1"/>
        </w:pBdr>
      </w:pPr>
      <w:r>
        <w:rPr>
          <w:b/>
          <w:color w:val="182A43"/>
          <w:sz w:val="30"/>
        </w:rPr>
        <w:t>9. Mandatory Promotion Rules</w:t>
      </w:r>
    </w:p>
    <w:p>
      <w:r>
        <w:t>A lower-tier worker does not get unlimited retries. Because TGP optimizes for wall-clock time, unexpected ambiguity is a routing signal.</w:t>
      </w:r>
    </w:p>
    <w:p>
      <w:pPr>
        <w:pStyle w:val="ListBullet"/>
        <w:spacing w:after="50"/>
      </w:pPr>
      <w:r>
        <w:t>A worker cannot identify the root cause after one focused attempt.</w:t>
      </w:r>
    </w:p>
    <w:p>
      <w:pPr>
        <w:pStyle w:val="ListBullet"/>
        <w:spacing w:after="50"/>
      </w:pPr>
      <w:r>
        <w:t>The implementation requires changing an invariant not supplied in the brief.</w:t>
      </w:r>
    </w:p>
    <w:p>
      <w:pPr>
        <w:pStyle w:val="ListBullet"/>
        <w:spacing w:after="50"/>
      </w:pPr>
      <w:r>
        <w:t>The worker proposes a new abstraction or shared dependency.</w:t>
      </w:r>
    </w:p>
    <w:p>
      <w:pPr>
        <w:pStyle w:val="ListBullet"/>
        <w:spacing w:after="50"/>
      </w:pPr>
      <w:r>
        <w:t>Scope expands into another major subsystem.</w:t>
      </w:r>
    </w:p>
    <w:p>
      <w:pPr>
        <w:pStyle w:val="ListBullet"/>
        <w:spacing w:after="50"/>
      </w:pPr>
      <w:r>
        <w:t>The existing code contradicts the accepted contract or architecture.</w:t>
      </w:r>
    </w:p>
    <w:p>
      <w:pPr>
        <w:pStyle w:val="ListBullet"/>
        <w:spacing w:after="50"/>
      </w:pPr>
      <w:r>
        <w:t>The proposed fix is a workaround around an unresolved root cause.</w:t>
      </w:r>
    </w:p>
    <w:p>
      <w:pPr>
        <w:pStyle w:val="ListBullet"/>
        <w:spacing w:after="50"/>
      </w:pPr>
      <w:r>
        <w:t>A T4 boundary is discovered.</w:t>
      </w:r>
    </w:p>
    <w:p>
      <w:pPr>
        <w:pStyle w:val="ListBullet"/>
        <w:spacing w:after="50"/>
      </w:pPr>
      <w:r>
        <w:t>The acceptance test cannot be stated objectively without making a new product decision.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4E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82A43"/>
                <w:sz w:val="21"/>
              </w:rPr>
              <w:t>ONE-STRIKE PROMOTION</w:t>
            </w:r>
          </w:p>
          <w:p>
            <w:pPr>
              <w:spacing w:after="0"/>
            </w:pPr>
            <w:r>
              <w:rPr>
                <w:color w:val="1E2023"/>
                <w:sz w:val="18"/>
              </w:rPr>
              <w:t>On the first material promotion trigger, stop repeating the same weak-agent attempt. Re-grade the slice and route it to the canonical higher tier. The goal is not to prove a cheap model can eventually solve it; the goal is to finish TGP faster.</w:t>
            </w:r>
          </w:p>
        </w:tc>
      </w:tr>
    </w:tbl>
    <w:p>
      <w:pPr>
        <w:spacing w:before="200" w:after="100"/>
        <w:pBdr>
          <w:bottom w:val="single" w:sz="8" w:space="1" w:color="DCE6F1"/>
        </w:pBdr>
      </w:pPr>
      <w:r>
        <w:rPr>
          <w:b/>
          <w:color w:val="182A43"/>
          <w:sz w:val="30"/>
        </w:rPr>
        <w:t>10. Higher-Tier Parent, Lower-Tier Children</w:t>
      </w:r>
    </w:p>
    <w:p>
      <w:r>
        <w:t>A T3 or T4 parent task does not require every line of implementation to be written by the parent model. The parent may decompose clearly bounded child slices and route those children independently.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203A5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Unit</w:t>
            </w:r>
          </w:p>
        </w:tc>
        <w:tc>
          <w:tcPr>
            <w:tcW w:type="dxa" w:w="3427"/>
            <w:shd w:fill="203A5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Builder</w:t>
            </w:r>
          </w:p>
        </w:tc>
        <w:tc>
          <w:tcPr>
            <w:tcW w:type="dxa" w:w="3427"/>
            <w:shd w:fill="203A5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sz w:val="16"/>
              </w:rPr>
              <w:t>Parent T3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Claude Opus 5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Decide authoritative importer lifecycle ownership and cross-repo contract.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b/>
                <w:sz w:val="16"/>
              </w:rPr>
              <w:t>Child T2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Claude Sonnet 5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Implement backend lifecycle behavior under the approved architecture.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sz w:val="16"/>
              </w:rPr>
              <w:t>Child T1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GPT-5.6 Terra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Propagate the approved contract through named mobile consumers.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b/>
                <w:sz w:val="16"/>
              </w:rPr>
              <w:t>Child T1 overflow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Kimi K3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Generate/extend fixtures and mechanical call-site updates under fixed contract.</w:t>
            </w:r>
          </w:p>
        </w:tc>
      </w:tr>
    </w:tbl>
    <w:p>
      <w:r>
        <w:rPr>
          <w:b/>
        </w:rPr>
        <w:t xml:space="preserve">Parent-retention rule: </w:t>
      </w:r>
      <w:r>
        <w:t>The higher-tier parent retains architecture, integration, audit disposition, and final correctness ownership. Delegation of implementation does not delegate the parent decision.</w:t>
      </w:r>
    </w:p>
    <w:p>
      <w:pPr>
        <w:spacing w:before="200" w:after="100"/>
        <w:pBdr>
          <w:bottom w:val="single" w:sz="8" w:space="1" w:color="DCE6F1"/>
        </w:pBdr>
      </w:pPr>
      <w:r>
        <w:rPr>
          <w:b/>
          <w:color w:val="182A43"/>
          <w:sz w:val="30"/>
        </w:rPr>
        <w:t>11. Kimi K3 / Parallel Overflow Policy</w:t>
      </w:r>
    </w:p>
    <w:p>
      <w:r>
        <w:t>Kimi K3 is used to increase concurrency, not to create arbitrary model-routing drift.</w:t>
      </w:r>
    </w:p>
    <w:p>
      <w:pPr>
        <w:pStyle w:val="ListBullet"/>
        <w:spacing w:after="50"/>
      </w:pPr>
      <w:r>
        <w:t>Allowed: T0/T1 work that independently satisfies the formal boundedness test.</w:t>
      </w:r>
    </w:p>
    <w:p>
      <w:pPr>
        <w:pStyle w:val="ListBullet"/>
        <w:spacing w:after="50"/>
      </w:pPr>
      <w:r>
        <w:t>Allowed: bounded child slices extracted from T2/T3 work after the parent has fixed the contract and acceptance criteria.</w:t>
      </w:r>
    </w:p>
    <w:p>
      <w:pPr>
        <w:pStyle w:val="ListBullet"/>
        <w:spacing w:after="50"/>
      </w:pPr>
      <w:r>
        <w:t>Allowed: repository reconnaissance, dependency inventory, call-site mapping, fixture/test generation, and mechanical migrations.</w:t>
      </w:r>
    </w:p>
    <w:p>
      <w:pPr>
        <w:pStyle w:val="ListBullet"/>
        <w:spacing w:after="50"/>
      </w:pPr>
      <w:r>
        <w:t>Not allowed: silently replacing the canonical T2/T3/T4 primary builder merely because credits are cheaper.</w:t>
      </w:r>
    </w:p>
    <w:p>
      <w:pPr>
        <w:pStyle w:val="ListBullet"/>
        <w:spacing w:after="50"/>
      </w:pPr>
      <w:r>
        <w:t>Not allowed: making unresolved architecture, privilege, data-semantics, or product-direction decisions.</w:t>
      </w:r>
    </w:p>
    <w:p>
      <w:pPr>
        <w:spacing w:before="200" w:after="100"/>
        <w:pBdr>
          <w:bottom w:val="single" w:sz="8" w:space="1" w:color="DCE6F1"/>
        </w:pBdr>
      </w:pPr>
      <w:r>
        <w:rPr>
          <w:b/>
          <w:color w:val="182A43"/>
          <w:sz w:val="30"/>
        </w:rPr>
        <w:t>12. Wall-Clock Optimization Rule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82A43"/>
                <w:sz w:val="21"/>
              </w:rPr>
              <w:t>THE WALL-CLOCK RULE</w:t>
            </w:r>
          </w:p>
          <w:p>
            <w:pPr>
              <w:spacing w:after="0"/>
            </w:pPr>
            <w:r>
              <w:rPr>
                <w:color w:val="1E2023"/>
                <w:sz w:val="18"/>
              </w:rPr>
              <w:t>When choosing between models, agents, implementation strategies, audit depth, or parallel work, minimize expected elapsed time to a correct integrated customer outcome. Credit cost is secondary unless quality and expected completion time are materially equivalent.</w:t>
            </w:r>
          </w:p>
        </w:tc>
      </w:tr>
    </w:tbl>
    <w:p>
      <w:r>
        <w:t>Therefore: the critical path always receives its canonical model or a stronger explicitly authorized equivalent. Weaker/cheaper agents are valuable when they execute bounded work in parallel and do not create extra audit/fix/re-audit cycles.</w:t>
      </w:r>
    </w:p>
    <w:p>
      <w:pPr>
        <w:spacing w:before="200" w:after="100"/>
        <w:pBdr>
          <w:bottom w:val="single" w:sz="8" w:space="1" w:color="DCE6F1"/>
        </w:pBdr>
      </w:pPr>
      <w:r>
        <w:rPr>
          <w:b/>
          <w:color w:val="182A43"/>
          <w:sz w:val="30"/>
        </w:rPr>
        <w:t>13. Fast Classification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1714"/>
            <w:shd w:fill="203A5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1714"/>
            <w:shd w:fill="203A5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T0</w:t>
            </w:r>
          </w:p>
        </w:tc>
        <w:tc>
          <w:tcPr>
            <w:tcW w:type="dxa" w:w="1714"/>
            <w:shd w:fill="203A5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T1</w:t>
            </w:r>
          </w:p>
        </w:tc>
        <w:tc>
          <w:tcPr>
            <w:tcW w:type="dxa" w:w="1714"/>
            <w:shd w:fill="203A5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T2</w:t>
            </w:r>
          </w:p>
        </w:tc>
        <w:tc>
          <w:tcPr>
            <w:tcW w:type="dxa" w:w="1714"/>
            <w:shd w:fill="203A5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T3</w:t>
            </w:r>
          </w:p>
        </w:tc>
        <w:tc>
          <w:tcPr>
            <w:tcW w:type="dxa" w:w="1714"/>
            <w:shd w:fill="203A5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T4</w:t>
            </w:r>
          </w:p>
        </w:tc>
      </w:tr>
      <w:tr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b/>
                <w:sz w:val="15"/>
              </w:rPr>
              <w:t>Runtime behavior changes?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Yes, bounded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Maybe / yes</w:t>
            </w:r>
          </w:p>
        </w:tc>
      </w:tr>
      <w:tr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b/>
                <w:sz w:val="15"/>
              </w:rPr>
              <w:t>Architecture decision needed?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sz w:val="15"/>
              </w:rPr>
              <w:t>No major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sz w:val="15"/>
              </w:rPr>
              <w:t>Maybe</w:t>
            </w:r>
          </w:p>
        </w:tc>
      </w:tr>
      <w:tr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b/>
                <w:sz w:val="15"/>
              </w:rPr>
              <w:t>Cross-system ownership changes?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If security/money/data boundary</w:t>
            </w:r>
          </w:p>
        </w:tc>
      </w:tr>
      <w:tr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b/>
                <w:sz w:val="15"/>
              </w:rPr>
              <w:t>Root cause known in advance?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sz w:val="15"/>
              </w:rPr>
              <w:t>N/A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sz w:val="15"/>
              </w:rPr>
              <w:t>Not required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sz w:val="15"/>
              </w:rPr>
              <w:t>Often no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sz w:val="15"/>
              </w:rPr>
              <w:t>Not required</w:t>
            </w:r>
          </w:p>
        </w:tc>
      </w:tr>
      <w:tr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b/>
                <w:sz w:val="15"/>
              </w:rPr>
              <w:t>All bounded criteria required?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N/A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b/>
                <w:sz w:val="15"/>
              </w:rPr>
              <w:t>Auth/tenancy/PII/money/destructive?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sz w:val="15"/>
              </w:rPr>
              <w:t>No unless escalates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  <w:shd w:fill="F7F9FC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b/>
                <w:sz w:val="15"/>
              </w:rPr>
              <w:t>Default builder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Luna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Terra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Sonnet 5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Opus 5</w:t>
            </w:r>
          </w:p>
        </w:tc>
        <w:tc>
          <w:tcPr>
            <w:tcW w:type="dxa" w:w="171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Fable 5.1</w:t>
            </w:r>
          </w:p>
        </w:tc>
      </w:tr>
    </w:tbl>
    <w:p>
      <w:pPr>
        <w:spacing w:before="200" w:after="100"/>
        <w:pBdr>
          <w:bottom w:val="single" w:sz="8" w:space="1" w:color="DCE6F1"/>
        </w:pBdr>
      </w:pPr>
      <w:r>
        <w:rPr>
          <w:b/>
          <w:color w:val="182A43"/>
          <w:sz w:val="30"/>
        </w:rPr>
        <w:t>14. Worked Grading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203A5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3427"/>
            <w:shd w:fill="203A5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Grade</w:t>
            </w:r>
          </w:p>
        </w:tc>
        <w:tc>
          <w:tcPr>
            <w:tcW w:type="dxa" w:w="3427"/>
            <w:shd w:fill="203A5F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Why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Fix typo in README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182A43"/>
                <w:sz w:val="16"/>
              </w:rPr>
              <w:t>T0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No runtime behavior; mechanically reversible.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Propagate approved `entity_type` field through three known DTO consumers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b/>
                <w:color w:val="182A43"/>
                <w:sz w:val="16"/>
              </w:rPr>
              <w:t>T1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Runtime change but outcome, contract, surface, dependencies, blast radius, and tests are bounded.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Add a new importer review screen using existing APIs and state model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182A43"/>
                <w:sz w:val="16"/>
              </w:rPr>
              <w:t>T2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Meaningful user behavior inside established architecture.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Determine where importer completion authority belongs across extension/backend/mobile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b/>
                <w:color w:val="182A43"/>
                <w:sz w:val="16"/>
              </w:rPr>
              <w:t>T3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Cross-system ownership and lifecycle architecture decision.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Change payout reconciliation or cross-tenant query scoping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182A43"/>
                <w:sz w:val="16"/>
              </w:rPr>
              <w:t>T4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Money or tenant-isolation correctness boundary.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300-line isolated presentational component with fixed props and no state effects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b/>
                <w:color w:val="182A43"/>
                <w:sz w:val="16"/>
              </w:rPr>
              <w:t>T1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  <w:shd w:fill="F7F9FC"/>
          </w:tcPr>
          <w:p>
            <w:r>
              <w:rPr>
                <w:sz w:val="16"/>
              </w:rPr>
              <w:t>Large diff does not imply high tier; still formally bounded.</w:t>
            </w:r>
          </w:p>
        </w:tc>
      </w:tr>
      <w:tr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2-line authorization conditional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b/>
                <w:color w:val="182A43"/>
                <w:sz w:val="16"/>
              </w:rPr>
              <w:t>T4</w:t>
            </w:r>
          </w:p>
        </w:tc>
        <w:tc>
          <w:tcPr>
            <w:tcW w:type="dxa" w:w="3427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6"/>
              </w:rPr>
              <w:t>Tiny diff does not lower consequence.</w:t>
            </w:r>
          </w:p>
        </w:tc>
      </w:tr>
    </w:tbl>
    <w:p>
      <w:pPr>
        <w:spacing w:before="200" w:after="100"/>
        <w:pBdr>
          <w:bottom w:val="single" w:sz="8" w:space="1" w:color="DCE6F1"/>
        </w:pBdr>
      </w:pPr>
      <w:r>
        <w:rPr>
          <w:b/>
          <w:color w:val="182A43"/>
          <w:sz w:val="30"/>
        </w:rPr>
        <w:t>15. Canonical Drop-In Policy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82A43"/>
                <w:sz w:val="21"/>
              </w:rPr>
              <w:t>COPY INTO AGENT / OPERATOR RULES</w:t>
            </w:r>
          </w:p>
          <w:p>
            <w:pPr>
              <w:spacing w:after="0"/>
            </w:pPr>
            <w:r>
              <w:rPr>
                <w:color w:val="1E2023"/>
                <w:sz w:val="18"/>
              </w:rPr>
              <w:t>Every engineering PR and independently executable slice MUST be graded T0-T4 before implementation. Grade by the highest triggered consequence/complexity rule, never by LOC or subjective importance. T4 = auth/authorization/RLS/tenancy/credentials/PII/money/destructive/irreversible/security-critical correctness. T3 = shared architecture, cross-system ownership, lifecycle/contracts, or high-entropy root-cause work. T2 = meaningful product behavior inside established architecture. T1 = runtime-changing work that satisfies ALL formal bounded-task criteria. T0 = non-behavioral mechanical work only. Routing is normative: T0→GPT-5.6 Luna; T1→GPT-5.6 Terra; T2→Claude Sonnet 5; T3→Claude Opus 5; T4→Claude Fable 5.1. Kimi K3 may execute formally bounded parallel/overflow work but may not replace the canonical higher-tier primary builder merely to save credits. If a lower-tier worker encounters ambiguity, an unknown invariant, scope expansion, architecture creation, a T4 boundary, or one focused failed attempt without root cause, STOP and re-grade upward. The PR grade equals the highest slice grade it contains. Split higher-risk slices only when they are genuinely separable. Optimize for wall-clock time to a correct integrated outcome; credits are secondary.</w:t>
            </w:r>
          </w:p>
        </w:tc>
      </w:tr>
    </w:tbl>
    <w:p>
      <w:pPr>
        <w:spacing w:before="240"/>
        <w:pBdr>
          <w:top w:val="single" w:sz="18" w:space="1" w:color="28629E"/>
        </w:pBdr>
      </w:pPr>
    </w:p>
    <w:p>
      <w:pPr>
        <w:jc w:val="center"/>
      </w:pPr>
      <w:r>
        <w:rPr>
          <w:b/>
          <w:color w:val="182A43"/>
          <w:sz w:val="23"/>
        </w:rPr>
        <w:t>CLASSIFY BY CONSEQUENCE. ROUTE BY RULE. PROMOTE ON AMBIGUITY. OPTIMIZE FOR TIME.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15B68"/>
        <w:sz w:val="14"/>
      </w:rPr>
      <w:t>PR / Slice Risk Grading + Deterministic AI Model Routing • Wall-clock optimized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DCE6F1"/>
      </w:pBdr>
    </w:pPr>
    <w:r>
      <w:rPr>
        <w:rFonts w:ascii="Liberation Sans" w:hAnsi="Liberation Sans"/>
        <w:b/>
        <w:color w:val="515B68"/>
        <w:sz w:val="15"/>
      </w:rPr>
      <w:t>TGP ENGINEERING DOCTRINE  |  T0-T4 ROUTING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