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Bradley Lamitie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Due 4/7/2017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two factors that determine maximum capacity in a computer;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 of bits in the memory address register - determines how many address locations can be decoded. Using M=2^k where k is number of bits in the memory address register’s width.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 of bits in the address field of the instruction set - establishes how many memory locations can be addressed from the instruction.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Flash Memory is unsuitable for use as main memory because it is not possible to write to a single memory location. It is neccessary to erase and rewrite a block of memory to make changes using flash memory. (pg 207)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Holding address?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Holding instructions?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anything?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Accumulator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Implicit: Accumulator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Explicit: the address field, in this case 31.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