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F519FA" w:rsidRPr="00F534CD" w:rsidRDefault="00F519FA" w:rsidP="00E45E62">
      <w:pPr>
        <w:rPr>
          <w:rFonts w:cstheme="minorHAnsi"/>
          <w:color w:val="000000"/>
          <w:szCs w:val="20"/>
        </w:rPr>
      </w:pPr>
      <w:r>
        <w:rPr>
          <w:rFonts w:cstheme="minorHAnsi"/>
          <w:color w:val="000000"/>
          <w:szCs w:val="20"/>
        </w:rPr>
        <w:t>The lowest possible value that can be reached is 0.</w:t>
      </w:r>
      <w:bookmarkStart w:id="0" w:name="_GoBack"/>
      <w:bookmarkEnd w:id="0"/>
    </w:p>
    <w:sectPr w:rsidR="00F519FA" w:rsidRPr="00F534CD">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C6A" w:rsidRDefault="00E50C6A" w:rsidP="00AC5459">
      <w:pPr>
        <w:spacing w:after="0"/>
      </w:pPr>
      <w:r>
        <w:separator/>
      </w:r>
    </w:p>
  </w:endnote>
  <w:endnote w:type="continuationSeparator" w:id="0">
    <w:p w:rsidR="00E50C6A" w:rsidRDefault="00E50C6A"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C6A" w:rsidRDefault="00E50C6A" w:rsidP="00AC5459">
      <w:pPr>
        <w:spacing w:after="0"/>
      </w:pPr>
      <w:r>
        <w:separator/>
      </w:r>
    </w:p>
  </w:footnote>
  <w:footnote w:type="continuationSeparator" w:id="0">
    <w:p w:rsidR="00E50C6A" w:rsidRDefault="00E50C6A"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44ECA"/>
    <w:rsid w:val="0004767C"/>
    <w:rsid w:val="000A7C2F"/>
    <w:rsid w:val="000B4019"/>
    <w:rsid w:val="000B5320"/>
    <w:rsid w:val="000B7FE2"/>
    <w:rsid w:val="000E2275"/>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2E1A77"/>
    <w:rsid w:val="00300AA3"/>
    <w:rsid w:val="003132A1"/>
    <w:rsid w:val="00350C1F"/>
    <w:rsid w:val="0035515F"/>
    <w:rsid w:val="00355D36"/>
    <w:rsid w:val="003750E1"/>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54C88"/>
    <w:rsid w:val="00561709"/>
    <w:rsid w:val="005D4052"/>
    <w:rsid w:val="00647456"/>
    <w:rsid w:val="00647AA7"/>
    <w:rsid w:val="006757F4"/>
    <w:rsid w:val="006764C7"/>
    <w:rsid w:val="00685C95"/>
    <w:rsid w:val="006B510D"/>
    <w:rsid w:val="006F1E90"/>
    <w:rsid w:val="006F6CFE"/>
    <w:rsid w:val="00757C8C"/>
    <w:rsid w:val="007A24C4"/>
    <w:rsid w:val="007B3068"/>
    <w:rsid w:val="007D172E"/>
    <w:rsid w:val="00837E8F"/>
    <w:rsid w:val="00850057"/>
    <w:rsid w:val="0088033D"/>
    <w:rsid w:val="008E5897"/>
    <w:rsid w:val="00957563"/>
    <w:rsid w:val="00957703"/>
    <w:rsid w:val="009A1ADD"/>
    <w:rsid w:val="009B08CA"/>
    <w:rsid w:val="009B35FB"/>
    <w:rsid w:val="009D6BA3"/>
    <w:rsid w:val="00A2699B"/>
    <w:rsid w:val="00A36262"/>
    <w:rsid w:val="00A534C1"/>
    <w:rsid w:val="00A556BC"/>
    <w:rsid w:val="00A62556"/>
    <w:rsid w:val="00A85B83"/>
    <w:rsid w:val="00AA2B28"/>
    <w:rsid w:val="00AC5459"/>
    <w:rsid w:val="00B0564F"/>
    <w:rsid w:val="00B14500"/>
    <w:rsid w:val="00B23FF5"/>
    <w:rsid w:val="00BB6F4A"/>
    <w:rsid w:val="00BC672F"/>
    <w:rsid w:val="00BF5541"/>
    <w:rsid w:val="00C34E67"/>
    <w:rsid w:val="00C42FEC"/>
    <w:rsid w:val="00C705A5"/>
    <w:rsid w:val="00C816DB"/>
    <w:rsid w:val="00CA2A7F"/>
    <w:rsid w:val="00CB1BB3"/>
    <w:rsid w:val="00CE5190"/>
    <w:rsid w:val="00D04C7E"/>
    <w:rsid w:val="00D150C2"/>
    <w:rsid w:val="00D44337"/>
    <w:rsid w:val="00D513A7"/>
    <w:rsid w:val="00D74F6F"/>
    <w:rsid w:val="00DC269E"/>
    <w:rsid w:val="00E222E2"/>
    <w:rsid w:val="00E42D24"/>
    <w:rsid w:val="00E45E62"/>
    <w:rsid w:val="00E50C6A"/>
    <w:rsid w:val="00EA2745"/>
    <w:rsid w:val="00EC051F"/>
    <w:rsid w:val="00EE278B"/>
    <w:rsid w:val="00F519FA"/>
    <w:rsid w:val="00F534B0"/>
    <w:rsid w:val="00F534CD"/>
    <w:rsid w:val="00F60CCF"/>
    <w:rsid w:val="00F73AE1"/>
    <w:rsid w:val="00F840CA"/>
    <w:rsid w:val="00F84561"/>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7CFF"/>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3FDD-3024-4459-94B3-259EB7C4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13</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91</cp:revision>
  <dcterms:created xsi:type="dcterms:W3CDTF">2017-10-06T17:06:00Z</dcterms:created>
  <dcterms:modified xsi:type="dcterms:W3CDTF">2018-01-19T19:26:00Z</dcterms:modified>
</cp:coreProperties>
</file>