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DAKOTA COUNTY DISTRICT COURT</w:t>
      </w:r>
    </w:p>
    <w:p>
      <w:pPr>
        <w:jc w:val="center"/>
      </w:pPr>
      <w:r>
        <w:rPr>
          <w:sz w:val="24"/>
        </w:rPr>
        <w:t>Case No. 19AV-CV-25-3477</w:t>
      </w:r>
    </w:p>
    <w:p>
      <w:pPr>
        <w:jc w:val="center"/>
      </w:pPr>
      <w:r>
        <w:rPr>
          <w:sz w:val="24"/>
        </w:rPr>
        <w:t>Crowe v. Velair LLC</w:t>
      </w:r>
    </w:p>
    <w:p/>
    <w:p>
      <w:pPr>
        <w:jc w:val="center"/>
      </w:pPr>
      <w:r>
        <w:rPr>
          <w:b/>
          <w:sz w:val="28"/>
        </w:rPr>
        <w:t>MOTION TO COMPEL DISCOVERY</w:t>
      </w:r>
    </w:p>
    <w:p/>
    <w:p>
      <w:pPr>
        <w:pStyle w:val="Title"/>
      </w:pPr>
      <w:r>
        <w:t>Motion to Compel Discovery</w:t>
      </w:r>
    </w:p>
    <w:p/>
    <w:p>
      <w:pPr>
        <w:pStyle w:val="Heading2"/>
      </w:pPr>
      <w:r>
        <w:t>Introduction</w:t>
      </w:r>
    </w:p>
    <w:p/>
    <w:p>
      <w:r>
        <w:t xml:space="preserve">This motion is filed pursuant to </w:t>
      </w:r>
      <w:r>
        <w:rPr>
          <w:b/>
        </w:rPr>
        <w:t>Minnesota Rules of Civil Procedure Rule 37</w:t>
      </w:r>
      <w:r>
        <w:t>.</w:t>
      </w:r>
    </w:p>
    <w:p/>
    <w:p>
      <w:pPr>
        <w:pStyle w:val="Heading3"/>
      </w:pPr>
      <w:r>
        <w:t>Key Facts</w:t>
      </w:r>
    </w:p>
    <w:p/>
    <w:p>
      <w:pPr>
        <w:pStyle w:val="ListNumber"/>
      </w:pPr>
      <w:r>
        <w:t>Defendant failed to respond to discovery requests</w:t>
      </w:r>
    </w:p>
    <w:p>
      <w:pPr>
        <w:pStyle w:val="ListNumber"/>
      </w:pPr>
      <w:r>
        <w:t>Multiple good-faith attempts were made</w:t>
      </w:r>
      <w:r>
        <w:rPr>
          <w:vertAlign w:val="superscript"/>
        </w:rPr>
        <w:t>[1]</w:t>
      </w:r>
    </w:p>
    <w:p>
      <w:pPr>
        <w:pStyle w:val="ListNumber"/>
      </w:pPr>
      <w:r>
        <w:t>Defendant's counsel was notified on January 15, 2025</w:t>
      </w:r>
    </w:p>
    <w:p/>
    <w:p>
      <w:pPr>
        <w:ind w:left="720"/>
      </w:pPr>
      <w:r>
        <w:rPr>
          <w:i/>
        </w:rPr>
        <w:t>The discovery rules are designed to promote full disclosure.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Request</w:t>
            </w:r>
          </w:p>
        </w:tc>
        <w:tc>
          <w:tcPr>
            <w:tcW w:type="dxa" w:w="3120"/>
          </w:tcPr>
          <w:p>
            <w:r>
              <w:t>Due Date</w:t>
            </w:r>
          </w:p>
        </w:tc>
        <w:tc>
          <w:tcPr>
            <w:tcW w:type="dxa" w:w="3120"/>
          </w:tcPr>
          <w:p>
            <w:r>
              <w:t>Status</w:t>
            </w:r>
          </w:p>
        </w:tc>
      </w:tr>
      <w:tr>
        <w:tc>
          <w:tcPr>
            <w:tcW w:type="dxa" w:w="3120"/>
          </w:tcPr>
          <w:p>
            <w:r>
              <w:t>Interrogatories</w:t>
            </w:r>
          </w:p>
        </w:tc>
        <w:tc>
          <w:tcPr>
            <w:tcW w:type="dxa" w:w="3120"/>
          </w:tcPr>
          <w:p>
            <w:r>
              <w:t>Dec 15</w:t>
            </w:r>
          </w:p>
        </w:tc>
        <w:tc>
          <w:tcPr>
            <w:tcW w:type="dxa" w:w="3120"/>
          </w:tcPr>
          <w:p>
            <w:r>
              <w:t>Overdue</w:t>
            </w:r>
          </w:p>
        </w:tc>
      </w:tr>
      <w:tr>
        <w:tc>
          <w:tcPr>
            <w:tcW w:type="dxa" w:w="3120"/>
          </w:tcPr>
          <w:p>
            <w:r>
              <w:t>Document Request</w:t>
            </w:r>
          </w:p>
        </w:tc>
        <w:tc>
          <w:tcPr>
            <w:tcW w:type="dxa" w:w="3120"/>
          </w:tcPr>
          <w:p>
            <w:r>
              <w:t>Dec 20</w:t>
            </w:r>
          </w:p>
        </w:tc>
        <w:tc>
          <w:tcPr>
            <w:tcW w:type="dxa" w:w="3120"/>
          </w:tcPr>
          <w:p>
            <w:r>
              <w:t>Overdue</w:t>
            </w:r>
          </w:p>
        </w:tc>
      </w:tr>
    </w:tbl>
    <w:p/>
    <w:p/>
    <w:p>
      <w:pPr>
        <w:pStyle w:val="Heading2"/>
      </w:pPr>
      <w:r>
        <w:t>Conclusion</w:t>
      </w:r>
    </w:p>
    <w:p/>
    <w:p>
      <w:r>
        <w:t>For the foregoing reasons, Plaintiff respectfully requests that the Court grant this Motion.</w:t>
      </w:r>
    </w:p>
    <w:p/>
    <w:p>
      <w:r>
        <w:t>: See attached correspondence dated January 10, 2025.</w:t>
      </w:r>
      <w:r>
        <w:rPr>
          <w:vertAlign w:val="superscript"/>
        </w:rPr>
        <w:t>[2]</w:t>
      </w:r>
    </w:p>
    <w:p/>
    <w:p/>
    <w:p>
      <w:r>
        <w:t>__________________________________________________</w:t>
      </w:r>
    </w:p>
    <w:p>
      <w:r>
        <w:rPr>
          <w:b/>
        </w:rPr>
        <w:t>FOOTNOTES</w:t>
      </w:r>
    </w:p>
    <w:p>
      <w:r>
        <w:rPr>
          <w:vertAlign w:val="superscript"/>
        </w:rPr>
        <w:t xml:space="preserve">[1] </w:t>
      </w:r>
      <w:r>
        <w:t>1</w:t>
      </w:r>
    </w:p>
    <w:p>
      <w:r>
        <w:rPr>
          <w:vertAlign w:val="superscript"/>
        </w:rPr>
        <w:t xml:space="preserve">[2] </w:t>
      </w:r>
      <w:r>
        <w:t>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