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480" w:line="360" w:lineRule="auto"/>
        <w:jc w:val="center"/>
      </w:pPr>
      <w:r>
        <w:rPr>
          <w:rFonts w:ascii="Cambria" w:cs="Cambria" w:eastAsia="Cambria" w:hAnsi="Cambria"/>
          <w:color w:val="000000"/>
          <w:sz w:val="52"/>
          <w:szCs w:val="52"/>
        </w:rPr>
        <w:t xml:space="preserve">LEGAL FILING SYSTEM BLUEPRINT</w:t>
      </w:r>
    </w:p>
    <w:p>
      <w:pPr>
        <w:spacing w:after="120" w:line="360" w:lineRule="auto"/>
        <w:jc w:val="center"/>
      </w:pPr>
      <w:r>
        <w:rPr>
          <w:rFonts w:ascii="Cambria" w:cs="Cambria" w:eastAsia="Cambria" w:hAnsi="Cambria"/>
          <w:b w:val="false"/>
          <w:bCs w:val="false"/>
          <w:i/>
          <w:iCs/>
          <w:strike w:val="false"/>
          <w:color w:val="000000"/>
          <w:sz w:val="22"/>
          <w:szCs w:val="22"/>
        </w:rPr>
        <w:t xml:space="preserve">Bradley Crowe — Multi-Case Architecture</w:t>
      </w:r>
    </w:p>
    <w:p>
      <w:pPr>
        <w:spacing w:after="60" w:line="360" w:lineRule="auto"/>
        <w:jc w:val="center"/>
      </w:pPr>
      <w:r>
        <w:rPr>
          <w:rFonts w:ascii="Cambria" w:cs="Cambria" w:eastAsia="Cambria" w:hAnsi="Cambria"/>
          <w:b w:val="false"/>
          <w:bCs w:val="false"/>
          <w:i w:val="false"/>
          <w:iCs w:val="false"/>
          <w:strike w:val="false"/>
          <w:color w:val="000000"/>
          <w:sz w:val="22"/>
          <w:szCs w:val="22"/>
        </w:rPr>
        <w:t xml:space="preserve">Lexington Flats • Eagan, Minnesota</w:t>
      </w:r>
    </w:p>
    <w:p>
      <w:pPr>
        <w:spacing w:after="60" w:line="360" w:lineRule="auto"/>
        <w:jc w:val="center"/>
      </w:pPr>
      <w:r>
        <w:rPr>
          <w:rFonts w:ascii="Cambria" w:cs="Cambria" w:eastAsia="Cambria" w:hAnsi="Cambria"/>
          <w:b w:val="false"/>
          <w:bCs w:val="false"/>
          <w:i w:val="false"/>
          <w:iCs w:val="false"/>
          <w:strike w:val="false"/>
          <w:color w:val="000000"/>
          <w:sz w:val="22"/>
          <w:szCs w:val="22"/>
        </w:rPr>
        <w:t xml:space="preserve">Version 1.0 — April 1, 2026</w:t>
      </w:r>
    </w:p>
    <w:p>
      <w:pPr>
        <w:spacing w:after="60" w:line="360" w:lineRule="auto"/>
        <w:jc w:val="center"/>
      </w:pPr>
      <w:r>
        <w:rPr>
          <w:rFonts w:ascii="Cambria" w:cs="Cambria" w:eastAsia="Cambria" w:hAnsi="Cambria"/>
          <w:b w:val="false"/>
          <w:bCs w:val="false"/>
          <w:i w:val="false"/>
          <w:iCs w:val="false"/>
          <w:strike w:val="false"/>
          <w:color w:val="000000"/>
          <w:sz w:val="22"/>
          <w:szCs w:val="22"/>
        </w:rPr>
        <w:t xml:space="preserve">GOVERNING DOCUMENT — Confidential Attorney Work Product Principles Apply</w:t>
      </w:r>
    </w:p>
    <w:p>
      <w:pPr>
        <w:pBdr>
          <w:bottom w:val="single" w:color="000000" w:sz="6"/>
        </w:pBdr>
        <w:spacing w:after="240" w:before="240"/>
      </w:pPr>
    </w:p>
    <w:p>
      <w:pPr>
        <w:pStyle w:val="Heading2"/>
        <w:spacing w:after="100" w:before="480" w:line="360" w:lineRule="auto"/>
      </w:pPr>
      <w:r>
        <w:rPr>
          <w:rFonts w:ascii="Cambria" w:cs="Cambria" w:eastAsia="Cambria" w:hAnsi="Cambria"/>
          <w:color w:val="000000"/>
          <w:sz w:val="36"/>
          <w:szCs w:val="36"/>
        </w:rPr>
        <w:t xml:space="preserve">TABLE OF CONTENTS</w:t>
      </w:r>
    </w:p>
    <w:p>
      <w:pPr>
        <w:pBdr>
          <w:top w:val="single" w:color="000000" w:sz="6"/>
        </w:pBdr>
        <w:spacing w:after="200" w:before="0"/>
      </w:pP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System Overview</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Case Hierarchy &amp; Active Matters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Master Folder Hierarchy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Naming Conventions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Version Control Protocol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Evidence Intake Workflow</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Export Protocols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Cross-Case Operations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Collaboration Protocol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System Maintenance</w:t>
      </w:r>
    </w:p>
    <w:p>
      <w:pPr>
        <w:pStyle w:val="Heading2"/>
        <w:spacing w:after="100" w:before="480" w:line="360" w:lineRule="auto"/>
      </w:pPr>
      <w:r>
        <w:rPr>
          <w:rFonts w:ascii="Cambria" w:cs="Cambria" w:eastAsia="Cambria" w:hAnsi="Cambria"/>
          <w:color w:val="000000"/>
          <w:sz w:val="36"/>
          <w:szCs w:val="36"/>
        </w:rPr>
        <w:t xml:space="preserve">SECTION 1. SYSTEM OVERVIEW</w:t>
      </w:r>
    </w:p>
    <w:p>
      <w:pPr>
        <w:pBdr>
          <w:top w:val="single" w:color="000000" w:sz="6"/>
        </w:pBdr>
        <w:spacing w:after="200" w:before="0"/>
      </w:pPr>
    </w:p>
    <w:p>
      <w:pPr>
        <w:pStyle w:val="Heading3"/>
        <w:spacing w:after="120" w:before="280" w:line="360" w:lineRule="auto"/>
      </w:pPr>
      <w:r>
        <w:rPr>
          <w:rFonts w:ascii="Cambria" w:cs="Cambria" w:eastAsia="Cambria" w:hAnsi="Cambria"/>
          <w:color w:val="000000"/>
          <w:sz w:val="28"/>
          <w:szCs w:val="28"/>
        </w:rPr>
        <w:t xml:space="preserve">1.1 Purpose Statement</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This Blueprint establishes the unified filing system governing all legal cases, evidence management, version control, and export workflows for multi-front tenant justice litigation conducted by Bradley Crowe from Lexington Flats, Eagan, Minnesota. It is the single authoritative reference for the entire legal filing operation. Every case file, exhibit, correspondence, narrative packet, and export bundle produced under this system shall conform to the standards defined herein.</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This document governs five simultaneous legal matters targeting systemic fraud, manipulation, and misuse of public funds in subsidized housing. It is designed for a sole operator working from a digital-first, zero-friction workspace with no tolerance for manual assembly bottlenecks.</w:t>
      </w:r>
    </w:p>
    <w:p>
      <w:pPr>
        <w:pStyle w:val="Heading3"/>
        <w:spacing w:after="120" w:before="280" w:line="360" w:lineRule="auto"/>
      </w:pPr>
      <w:r>
        <w:rPr>
          <w:rFonts w:ascii="Cambria" w:cs="Cambria" w:eastAsia="Cambria" w:hAnsi="Cambria"/>
          <w:color w:val="000000"/>
          <w:sz w:val="28"/>
          <w:szCs w:val="28"/>
        </w:rPr>
        <w:t xml:space="preserve">1.2 Design Principles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Principle</w:t>
            </w:r>
          </w:p>
        </w:tc>
        <w:tc>
          <w:tcPr>
            <w:tcW w:type="pct" w:w="81%"/>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Description</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Digital-First</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Every artifact is born digital. No paper originals. No scanning workflows. The workspace is a bed — every operation must execute from a single device with zero physical infrastructure.</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Zero Manual Assembly</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Export packets, court filings, and evidence bundles are assembled through templates and automation (Semptify platform), not manual copy-paste operations.</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Modular Architecture</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Each case is self-contained with its own folder branch, exhibit series, and version history. Cases can be exported, handed off, or archived independently.</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Multilingual-Ready</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Quad-lingual capacity (English, Spanish, Somali, Hmong) built into the folder structure and export pipeline. Accessibility is non-negotiable.</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Resilient (Checkpoint/Recover)</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Three-tier version control ensures that no data loss event — device failure, accidental deletion, or corruption — can destroy the filing system. Full state is recoverable from the last checkpoint.</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Audit-Trail Built In</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Every file carries its version history in its name. Every checkpoint is timestamped. GitHub commits create an immutable public record. The system is its own evidence of diligence.</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1.3 System Components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2%"/>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Component</w:t>
            </w:r>
          </w:p>
        </w:tc>
        <w:tc>
          <w:tcPr>
            <w:tcW w:type="pct" w:w="12%"/>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Role</w:t>
            </w:r>
          </w:p>
        </w:tc>
        <w:tc>
          <w:tcPr>
            <w:tcW w:type="pct" w:w="56%"/>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Description</w:t>
            </w:r>
          </w:p>
        </w:tc>
      </w:tr>
      <w:tr>
        <w:trPr>
          <w:tblHeader w:val="false"/>
        </w:trPr>
        <w:tc>
          <w:tcPr>
            <w:tcW w:type="pct" w:w="3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This Blueprint</w:t>
            </w:r>
            <w:r>
              <w:rPr>
                <w:rFonts w:ascii="Cambria" w:cs="Cambria" w:eastAsia="Cambria" w:hAnsi="Cambria"/>
                <w:b w:val="false"/>
                <w:bCs w:val="false"/>
                <w:i w:val="false"/>
                <w:iCs w:val="false"/>
                <w:strike w:val="false"/>
                <w:color w:val="000000"/>
                <w:sz w:val="20"/>
                <w:szCs w:val="20"/>
              </w:rPr>
              <w:t xml:space="preserve"> (Blueprint.docx)</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Governance</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Defines all rules, structures, naming conventions, workflows, and protocols. The governing reference document.</w:t>
            </w:r>
          </w:p>
        </w:tc>
      </w:tr>
      <w:tr>
        <w:trPr>
          <w:tblHeader w:val="false"/>
        </w:trPr>
        <w:tc>
          <w:tcPr>
            <w:tcW w:type="pct" w:w="3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Case &amp; Evidence Management Workbook</w:t>
            </w:r>
            <w:r>
              <w:rPr>
                <w:rFonts w:ascii="Cambria" w:cs="Cambria" w:eastAsia="Cambria" w:hAnsi="Cambria"/>
                <w:b w:val="false"/>
                <w:bCs w:val="false"/>
                <w:i w:val="false"/>
                <w:iCs w:val="false"/>
                <w:strike w:val="false"/>
                <w:color w:val="000000"/>
                <w:sz w:val="20"/>
                <w:szCs w:val="20"/>
              </w:rPr>
              <w:t xml:space="preserve"> (Case_Evidence_Workbook.xlsx)</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Operations</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Master log of all exhibits, filings, correspondence, deadlines, and cross-case tags. The operational tracking layer.</w:t>
            </w:r>
          </w:p>
        </w:tc>
      </w:tr>
      <w:tr>
        <w:trPr>
          <w:tblHeader w:val="false"/>
        </w:trPr>
        <w:tc>
          <w:tcPr>
            <w:tcW w:type="pct" w:w="3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Folder Hierarchy</w:t>
            </w:r>
            <w:r>
              <w:rPr>
                <w:rFonts w:ascii="Cambria" w:cs="Cambria" w:eastAsia="Cambria" w:hAnsi="Cambria"/>
                <w:b w:val="false"/>
                <w:bCs w:val="false"/>
                <w:i w:val="false"/>
                <w:iCs w:val="false"/>
                <w:strike w:val="false"/>
                <w:color w:val="000000"/>
                <w:sz w:val="20"/>
                <w:szCs w:val="20"/>
              </w:rPr>
              <w:t xml:space="preserve"> (/LEGAL_FILING_SYSTEM/)</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Storage</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The physical file structure on disk. Every file has exactly one correct location defined by this Blueprint.</w:t>
            </w:r>
          </w:p>
        </w:tc>
      </w:tr>
      <w:tr>
        <w:trPr>
          <w:tblHeader w:val="false"/>
        </w:trPr>
        <w:tc>
          <w:tcPr>
            <w:tcW w:type="pct" w:w="3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Export Pipeline</w:t>
            </w:r>
            <w:r>
              <w:rPr>
                <w:rFonts w:ascii="Cambria" w:cs="Cambria" w:eastAsia="Cambria" w:hAnsi="Cambria"/>
                <w:b w:val="false"/>
                <w:bCs w:val="false"/>
                <w:i w:val="false"/>
                <w:iCs w:val="false"/>
                <w:strike w:val="false"/>
                <w:color w:val="000000"/>
                <w:sz w:val="20"/>
                <w:szCs w:val="20"/>
              </w:rPr>
              <w:t xml:space="preserve"> (Semptify + Templates)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Delivery</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Automated and template-driven assembly of court filings, agency submissions, press packets, attorney bundles, and bulk ZIP exports.</w:t>
            </w:r>
          </w:p>
        </w:tc>
      </w:tr>
      <w:tr>
        <w:trPr>
          <w:tblHeader w:val="false"/>
        </w:trPr>
        <w:tc>
          <w:tcPr>
            <w:tcW w:type="pct" w:w="3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GitHub Repository</w:t>
            </w:r>
            <w:r>
              <w:rPr>
                <w:rFonts w:ascii="Cambria" w:cs="Cambria" w:eastAsia="Cambria" w:hAnsi="Cambria"/>
                <w:b w:val="false"/>
                <w:bCs w:val="false"/>
                <w:i w:val="false"/>
                <w:iCs w:val="false"/>
                <w:strike w:val="false"/>
                <w:color w:val="000000"/>
                <w:sz w:val="20"/>
                <w:szCs w:val="20"/>
              </w:rPr>
              <w:t xml:space="preserve"> (Bradleycrowe)</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Audit Trail</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Immutable, timestamped version history with branching per case. The ultimate resilience and transparency layer.</w:t>
            </w:r>
          </w:p>
        </w:tc>
      </w:tr>
    </w:tbl>
    <w:p>
      <w:pPr>
        <w:spacing w:after="200" w:before="0"/>
      </w:pPr>
    </w:p>
    <w:p>
      <w:pPr>
        <w:pStyle w:val="Heading2"/>
        <w:spacing w:after="100" w:before="480" w:line="360" w:lineRule="auto"/>
      </w:pPr>
      <w:r>
        <w:rPr>
          <w:rFonts w:ascii="Cambria" w:cs="Cambria" w:eastAsia="Cambria" w:hAnsi="Cambria"/>
          <w:color w:val="000000"/>
          <w:sz w:val="36"/>
          <w:szCs w:val="36"/>
        </w:rPr>
        <w:t xml:space="preserve">SECTION 2. CASE HIERARCHY &amp; ACTIVE MATTERS</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following table defines the active case environment as of April 1, 2026. Each case operates as an independent module within the filing system, with its own folder branch, exhibit numbering series, and version history. Cross-case connections are managed through the </w:t>
      </w:r>
      <w:r>
        <w:rPr>
          <w:rFonts w:ascii="Consolas" w:cs="Consolas" w:eastAsia="Consolas" w:hAnsi="Consolas"/>
          <w:b w:val="false"/>
          <w:bCs w:val="false"/>
          <w:i w:val="false"/>
          <w:iCs w:val="false"/>
          <w:strike w:val="false"/>
          <w:color w:val="000000"/>
          <w:sz w:val="20"/>
          <w:szCs w:val="20"/>
          <w:shd w:fill="F0F0F0" w:color="auto" w:val="clear"/>
        </w:rPr>
        <w:t xml:space="preserve">_CROSS_CASE/</w:t>
      </w:r>
      <w:r>
        <w:rPr>
          <w:rFonts w:ascii="Cambria" w:cs="Cambria" w:eastAsia="Cambria" w:hAnsi="Cambria"/>
          <w:b w:val="false"/>
          <w:bCs w:val="false"/>
          <w:i w:val="false"/>
          <w:iCs w:val="false"/>
          <w:strike w:val="false"/>
          <w:color w:val="000000"/>
          <w:sz w:val="22"/>
          <w:szCs w:val="22"/>
        </w:rPr>
        <w:t xml:space="preserve"> infrastructure defined in Section 8.</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Case</w:t>
            </w:r>
          </w:p>
        </w:tc>
        <w:tc>
          <w:tcPr>
            <w:tcW w:type="pct" w:w="19%"/>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Matter</w:t>
            </w:r>
          </w:p>
        </w:tc>
        <w:tc>
          <w:tcPr>
            <w:tcW w:type="pct" w:w="21%"/>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Jurisdiction</w:t>
            </w:r>
          </w:p>
        </w:tc>
        <w:tc>
          <w:tcPr>
            <w:tcW w:type="pct" w:w="2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Type</w:t>
            </w:r>
          </w:p>
        </w:tc>
        <w:tc>
          <w:tcPr>
            <w:tcW w:type="pct" w:w="13%"/>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Filing System</w:t>
            </w:r>
          </w:p>
        </w:tc>
        <w:tc>
          <w:tcPr>
            <w:tcW w:type="pct" w:w="1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Status</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01</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Dakota County Eviction Defense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Dakota County Housing Court</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Eviction defense, motion practice, emergency filings</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eFileMN</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Active Litigation</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02</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Lexington Flats Fraud &amp; Mismanagement Exposure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Multiple (HUD, MN Housing Finance Agency, local oversight)</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Complaint-driven investigation trigger</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Direct submission</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Active Advocacy / Investigation</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03</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Damage Deposit Claim</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Conciliation Court / Small Claims</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Statutory claim (MN §504B.178)</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eFileMN</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Pending / Active</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04</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Systemic Oversight Complaints</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Federal (HUD OIG), State (MN AG, MN Housing), Local</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Administrative complaints</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Agency portals / mail</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Ongoing</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05</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Collective Tenant Action</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Various</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Organizing, collective grievances, potential class action groundwork</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TBD</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Building</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Case 01: Dakota County Eviction Defense</w:t>
      </w:r>
    </w:p>
    <w:p>
      <w:pPr>
        <w:spacing w:after="120" w:before="60" w:line="360" w:lineRule="auto"/>
      </w:pPr>
      <w:r>
        <w:rPr>
          <w:rFonts w:ascii="Cambria" w:cs="Cambria" w:eastAsia="Cambria" w:hAnsi="Cambria"/>
          <w:b/>
          <w:bCs/>
          <w:i w:val="false"/>
          <w:iCs w:val="false"/>
          <w:strike w:val="false"/>
          <w:color w:val="000000"/>
          <w:sz w:val="22"/>
          <w:szCs w:val="22"/>
        </w:rPr>
        <w:t xml:space="preserve">Key Documents:</w:t>
      </w:r>
      <w:r>
        <w:rPr>
          <w:rFonts w:ascii="Cambria" w:cs="Cambria" w:eastAsia="Cambria" w:hAnsi="Cambria"/>
          <w:b w:val="false"/>
          <w:bCs w:val="false"/>
          <w:i w:val="false"/>
          <w:iCs w:val="false"/>
          <w:strike w:val="false"/>
          <w:color w:val="000000"/>
          <w:sz w:val="22"/>
          <w:szCs w:val="22"/>
        </w:rPr>
        <w:t xml:space="preserve"> Motions to dismiss, stay of proceedings, proposed orders, statement of facts, exhibit lists, emergency evidence packets. This is the highest-urgency case with court-imposed deadlines. All filings go through eFileMN in PDF format. Emergency filings may require same-day turnaround.</w:t>
      </w:r>
    </w:p>
    <w:p>
      <w:pPr>
        <w:spacing w:after="120" w:before="60" w:line="360" w:lineRule="auto"/>
      </w:pPr>
      <w:r>
        <w:rPr>
          <w:rFonts w:ascii="Cambria" w:cs="Cambria" w:eastAsia="Cambria" w:hAnsi="Cambria"/>
          <w:b/>
          <w:bCs/>
          <w:i w:val="false"/>
          <w:iCs w:val="false"/>
          <w:strike w:val="false"/>
          <w:color w:val="000000"/>
          <w:sz w:val="22"/>
          <w:szCs w:val="22"/>
        </w:rPr>
        <w:t xml:space="preserve">Exhibit Series:</w:t>
      </w:r>
      <w:r>
        <w:rPr>
          <w:rFonts w:ascii="Cambria" w:cs="Cambria" w:eastAsia="Cambria" w:hAnsi="Cambria"/>
          <w:b w:val="false"/>
          <w:bCs w:val="false"/>
          <w:i w:val="false"/>
          <w:iCs w:val="false"/>
          <w:strike w:val="false"/>
          <w:color w:val="000000"/>
          <w:sz w:val="22"/>
          <w:szCs w:val="22"/>
        </w:rPr>
        <w:t xml:space="preserve"> EX-01-001 through EX-01-999</w:t>
      </w:r>
    </w:p>
    <w:p>
      <w:pPr>
        <w:pStyle w:val="Heading3"/>
        <w:spacing w:after="120" w:before="280" w:line="360" w:lineRule="auto"/>
      </w:pPr>
      <w:r>
        <w:rPr>
          <w:rFonts w:ascii="Cambria" w:cs="Cambria" w:eastAsia="Cambria" w:hAnsi="Cambria"/>
          <w:color w:val="000000"/>
          <w:sz w:val="28"/>
          <w:szCs w:val="28"/>
        </w:rPr>
        <w:t xml:space="preserve">Case 02: Lexington Flats Fraud &amp; Mismanagement Exposure</w:t>
      </w:r>
    </w:p>
    <w:p>
      <w:pPr>
        <w:spacing w:after="120" w:before="60" w:line="360" w:lineRule="auto"/>
      </w:pPr>
      <w:r>
        <w:rPr>
          <w:rFonts w:ascii="Cambria" w:cs="Cambria" w:eastAsia="Cambria" w:hAnsi="Cambria"/>
          <w:b/>
          <w:bCs/>
          <w:i w:val="false"/>
          <w:iCs w:val="false"/>
          <w:strike w:val="false"/>
          <w:color w:val="000000"/>
          <w:sz w:val="22"/>
          <w:szCs w:val="22"/>
        </w:rPr>
        <w:t xml:space="preserve">Key Documents:</w:t>
      </w:r>
      <w:r>
        <w:rPr>
          <w:rFonts w:ascii="Cambria" w:cs="Cambria" w:eastAsia="Cambria" w:hAnsi="Cambria"/>
          <w:b w:val="false"/>
          <w:bCs w:val="false"/>
          <w:i w:val="false"/>
          <w:iCs w:val="false"/>
          <w:strike w:val="false"/>
          <w:color w:val="000000"/>
          <w:sz w:val="22"/>
          <w:szCs w:val="22"/>
        </w:rPr>
        <w:t xml:space="preserve"> Narrative packets, complaint letters, evidence compilations, press releases, timeline exhibits, financial analysis of public funds misuse. This case produces the most diverse output — different versions of the same evidence are tailored for agencies, press, and attorneys.</w:t>
      </w:r>
    </w:p>
    <w:p>
      <w:pPr>
        <w:spacing w:after="120" w:before="60" w:line="360" w:lineRule="auto"/>
      </w:pPr>
      <w:r>
        <w:rPr>
          <w:rFonts w:ascii="Cambria" w:cs="Cambria" w:eastAsia="Cambria" w:hAnsi="Cambria"/>
          <w:b/>
          <w:bCs/>
          <w:i w:val="false"/>
          <w:iCs w:val="false"/>
          <w:strike w:val="false"/>
          <w:color w:val="000000"/>
          <w:sz w:val="22"/>
          <w:szCs w:val="22"/>
        </w:rPr>
        <w:t xml:space="preserve">Exhibit Series:</w:t>
      </w:r>
      <w:r>
        <w:rPr>
          <w:rFonts w:ascii="Cambria" w:cs="Cambria" w:eastAsia="Cambria" w:hAnsi="Cambria"/>
          <w:b w:val="false"/>
          <w:bCs w:val="false"/>
          <w:i w:val="false"/>
          <w:iCs w:val="false"/>
          <w:strike w:val="false"/>
          <w:color w:val="000000"/>
          <w:sz w:val="22"/>
          <w:szCs w:val="22"/>
        </w:rPr>
        <w:t xml:space="preserve"> EX-02-001 through EX-02-999</w:t>
      </w:r>
    </w:p>
    <w:p>
      <w:pPr>
        <w:pStyle w:val="Heading3"/>
        <w:spacing w:after="120" w:before="280" w:line="360" w:lineRule="auto"/>
      </w:pPr>
      <w:r>
        <w:rPr>
          <w:rFonts w:ascii="Cambria" w:cs="Cambria" w:eastAsia="Cambria" w:hAnsi="Cambria"/>
          <w:color w:val="000000"/>
          <w:sz w:val="28"/>
          <w:szCs w:val="28"/>
        </w:rPr>
        <w:t xml:space="preserve">Case 03: Damage Deposit Claim</w:t>
      </w:r>
    </w:p>
    <w:p>
      <w:pPr>
        <w:spacing w:after="120" w:before="60" w:line="360" w:lineRule="auto"/>
      </w:pPr>
      <w:r>
        <w:rPr>
          <w:rFonts w:ascii="Cambria" w:cs="Cambria" w:eastAsia="Cambria" w:hAnsi="Cambria"/>
          <w:b/>
          <w:bCs/>
          <w:i w:val="false"/>
          <w:iCs w:val="false"/>
          <w:strike w:val="false"/>
          <w:color w:val="000000"/>
          <w:sz w:val="22"/>
          <w:szCs w:val="22"/>
        </w:rPr>
        <w:t xml:space="preserve">Key Documents:</w:t>
      </w:r>
      <w:r>
        <w:rPr>
          <w:rFonts w:ascii="Cambria" w:cs="Cambria" w:eastAsia="Cambria" w:hAnsi="Cambria"/>
          <w:b w:val="false"/>
          <w:bCs w:val="false"/>
          <w:i w:val="false"/>
          <w:iCs w:val="false"/>
          <w:strike w:val="false"/>
          <w:color w:val="000000"/>
          <w:sz w:val="22"/>
          <w:szCs w:val="22"/>
        </w:rPr>
        <w:t xml:space="preserve"> Demand letter, claim filing, itemized damages, photographic evidence, correspondence log. Statutory claim under Minnesota Statute §504B.178. Simpler filing requirements but strict evidentiary standards for damages.</w:t>
      </w:r>
    </w:p>
    <w:p>
      <w:pPr>
        <w:spacing w:after="120" w:before="60" w:line="360" w:lineRule="auto"/>
      </w:pPr>
      <w:r>
        <w:rPr>
          <w:rFonts w:ascii="Cambria" w:cs="Cambria" w:eastAsia="Cambria" w:hAnsi="Cambria"/>
          <w:b/>
          <w:bCs/>
          <w:i w:val="false"/>
          <w:iCs w:val="false"/>
          <w:strike w:val="false"/>
          <w:color w:val="000000"/>
          <w:sz w:val="22"/>
          <w:szCs w:val="22"/>
        </w:rPr>
        <w:t xml:space="preserve">Exhibit Series:</w:t>
      </w:r>
      <w:r>
        <w:rPr>
          <w:rFonts w:ascii="Cambria" w:cs="Cambria" w:eastAsia="Cambria" w:hAnsi="Cambria"/>
          <w:b w:val="false"/>
          <w:bCs w:val="false"/>
          <w:i w:val="false"/>
          <w:iCs w:val="false"/>
          <w:strike w:val="false"/>
          <w:color w:val="000000"/>
          <w:sz w:val="22"/>
          <w:szCs w:val="22"/>
        </w:rPr>
        <w:t xml:space="preserve"> EX-03-001 through EX-03-999</w:t>
      </w:r>
    </w:p>
    <w:p>
      <w:pPr>
        <w:pStyle w:val="Heading3"/>
        <w:spacing w:after="120" w:before="280" w:line="360" w:lineRule="auto"/>
      </w:pPr>
      <w:r>
        <w:rPr>
          <w:rFonts w:ascii="Cambria" w:cs="Cambria" w:eastAsia="Cambria" w:hAnsi="Cambria"/>
          <w:color w:val="000000"/>
          <w:sz w:val="28"/>
          <w:szCs w:val="28"/>
        </w:rPr>
        <w:t xml:space="preserve">Case 04: Systemic Oversight Complaints</w:t>
      </w:r>
    </w:p>
    <w:p>
      <w:pPr>
        <w:spacing w:after="120" w:before="60" w:line="360" w:lineRule="auto"/>
      </w:pPr>
      <w:r>
        <w:rPr>
          <w:rFonts w:ascii="Cambria" w:cs="Cambria" w:eastAsia="Cambria" w:hAnsi="Cambria"/>
          <w:b/>
          <w:bCs/>
          <w:i w:val="false"/>
          <w:iCs w:val="false"/>
          <w:strike w:val="false"/>
          <w:color w:val="000000"/>
          <w:sz w:val="22"/>
          <w:szCs w:val="22"/>
        </w:rPr>
        <w:t xml:space="preserve">Key Documents:</w:t>
      </w:r>
      <w:r>
        <w:rPr>
          <w:rFonts w:ascii="Cambria" w:cs="Cambria" w:eastAsia="Cambria" w:hAnsi="Cambria"/>
          <w:b w:val="false"/>
          <w:bCs w:val="false"/>
          <w:i w:val="false"/>
          <w:iCs w:val="false"/>
          <w:strike w:val="false"/>
          <w:color w:val="000000"/>
          <w:sz w:val="22"/>
          <w:szCs w:val="22"/>
        </w:rPr>
        <w:t xml:space="preserve"> HUD complaint forms, AG complaint submissions, FOIA/data-practices requests, pattern-and-practice documentation. This case spans federal, state, and local jurisdictions. Each agency has its own submission format and tracking requirements.</w:t>
      </w:r>
    </w:p>
    <w:p>
      <w:pPr>
        <w:spacing w:after="120" w:before="60" w:line="360" w:lineRule="auto"/>
      </w:pPr>
      <w:r>
        <w:rPr>
          <w:rFonts w:ascii="Cambria" w:cs="Cambria" w:eastAsia="Cambria" w:hAnsi="Cambria"/>
          <w:b/>
          <w:bCs/>
          <w:i w:val="false"/>
          <w:iCs w:val="false"/>
          <w:strike w:val="false"/>
          <w:color w:val="000000"/>
          <w:sz w:val="22"/>
          <w:szCs w:val="22"/>
        </w:rPr>
        <w:t xml:space="preserve">Exhibit Series:</w:t>
      </w:r>
      <w:r>
        <w:rPr>
          <w:rFonts w:ascii="Cambria" w:cs="Cambria" w:eastAsia="Cambria" w:hAnsi="Cambria"/>
          <w:b w:val="false"/>
          <w:bCs w:val="false"/>
          <w:i w:val="false"/>
          <w:iCs w:val="false"/>
          <w:strike w:val="false"/>
          <w:color w:val="000000"/>
          <w:sz w:val="22"/>
          <w:szCs w:val="22"/>
        </w:rPr>
        <w:t xml:space="preserve"> EX-04-001 through EX-04-999</w:t>
      </w:r>
    </w:p>
    <w:p>
      <w:pPr>
        <w:pStyle w:val="Heading3"/>
        <w:spacing w:after="120" w:before="280" w:line="360" w:lineRule="auto"/>
      </w:pPr>
      <w:r>
        <w:rPr>
          <w:rFonts w:ascii="Cambria" w:cs="Cambria" w:eastAsia="Cambria" w:hAnsi="Cambria"/>
          <w:color w:val="000000"/>
          <w:sz w:val="28"/>
          <w:szCs w:val="28"/>
        </w:rPr>
        <w:t xml:space="preserve">Case 05: Collective Tenant Action</w:t>
      </w:r>
    </w:p>
    <w:p>
      <w:pPr>
        <w:spacing w:after="120" w:before="60" w:line="360" w:lineRule="auto"/>
      </w:pPr>
      <w:r>
        <w:rPr>
          <w:rFonts w:ascii="Cambria" w:cs="Cambria" w:eastAsia="Cambria" w:hAnsi="Cambria"/>
          <w:b/>
          <w:bCs/>
          <w:i w:val="false"/>
          <w:iCs w:val="false"/>
          <w:strike w:val="false"/>
          <w:color w:val="000000"/>
          <w:sz w:val="22"/>
          <w:szCs w:val="22"/>
        </w:rPr>
        <w:t xml:space="preserve">Key Documents:</w:t>
      </w:r>
      <w:r>
        <w:rPr>
          <w:rFonts w:ascii="Cambria" w:cs="Cambria" w:eastAsia="Cambria" w:hAnsi="Cambria"/>
          <w:b w:val="false"/>
          <w:bCs w:val="false"/>
          <w:i w:val="false"/>
          <w:iCs w:val="false"/>
          <w:strike w:val="false"/>
          <w:color w:val="000000"/>
          <w:sz w:val="22"/>
          <w:szCs w:val="22"/>
        </w:rPr>
        <w:t xml:space="preserve"> Tenant statements, incident logs, shared evidence repository, organizing materials, multilingual communications (EN, ES, SO, HM). </w:t>
      </w:r>
      <w:r>
        <w:rPr>
          <w:rFonts w:ascii="Cambria" w:cs="Cambria" w:eastAsia="Cambria" w:hAnsi="Cambria"/>
          <w:b/>
          <w:bCs/>
          <w:i w:val="false"/>
          <w:iCs w:val="false"/>
          <w:strike w:val="false"/>
          <w:color w:val="000000"/>
          <w:sz w:val="22"/>
          <w:szCs w:val="22"/>
        </w:rPr>
        <w:t xml:space="preserve">Collaborators:</w:t>
      </w:r>
      <w:r>
        <w:rPr>
          <w:rFonts w:ascii="Cambria" w:cs="Cambria" w:eastAsia="Cambria" w:hAnsi="Cambria"/>
          <w:b w:val="false"/>
          <w:bCs w:val="false"/>
          <w:i w:val="false"/>
          <w:iCs w:val="false"/>
          <w:strike w:val="false"/>
          <w:color w:val="000000"/>
          <w:sz w:val="22"/>
          <w:szCs w:val="22"/>
        </w:rPr>
        <w:t xml:space="preserve"> Dena Sazama, Tenant Apt 212, Tenant Apt 103, and additional tenants as identified.</w:t>
      </w:r>
    </w:p>
    <w:p>
      <w:pPr>
        <w:spacing w:after="120" w:before="60" w:line="360" w:lineRule="auto"/>
      </w:pPr>
      <w:r>
        <w:rPr>
          <w:rFonts w:ascii="Cambria" w:cs="Cambria" w:eastAsia="Cambria" w:hAnsi="Cambria"/>
          <w:b/>
          <w:bCs/>
          <w:i w:val="false"/>
          <w:iCs w:val="false"/>
          <w:strike w:val="false"/>
          <w:color w:val="000000"/>
          <w:sz w:val="22"/>
          <w:szCs w:val="22"/>
        </w:rPr>
        <w:t xml:space="preserve">Exhibit Series:</w:t>
      </w:r>
      <w:r>
        <w:rPr>
          <w:rFonts w:ascii="Cambria" w:cs="Cambria" w:eastAsia="Cambria" w:hAnsi="Cambria"/>
          <w:b w:val="false"/>
          <w:bCs w:val="false"/>
          <w:i w:val="false"/>
          <w:iCs w:val="false"/>
          <w:strike w:val="false"/>
          <w:color w:val="000000"/>
          <w:sz w:val="22"/>
          <w:szCs w:val="22"/>
        </w:rPr>
        <w:t xml:space="preserve"> EX-05-001 through EX-05-999</w:t>
      </w:r>
    </w:p>
    <w:p>
      <w:pPr>
        <w:pStyle w:val="Heading2"/>
        <w:spacing w:after="100" w:before="480" w:line="360" w:lineRule="auto"/>
      </w:pPr>
      <w:r>
        <w:rPr>
          <w:rFonts w:ascii="Cambria" w:cs="Cambria" w:eastAsia="Cambria" w:hAnsi="Cambria"/>
          <w:color w:val="000000"/>
          <w:sz w:val="36"/>
          <w:szCs w:val="36"/>
        </w:rPr>
        <w:t xml:space="preserve">SECTION 3. MASTER FOLDER HIERARCHY</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following folder structure is the authoritative storage architecture. Every file produced under this system has exactly one correct location. No file shall exist outside this hierarchy. No folder shall be created outside this structure without amending this Blueprint.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210"/>
              <w:left w:type="dxa" w:w="270"/>
              <w:bottom w:type="dxa" w:w="210"/>
              <w:right w:type="dxa" w:w="270"/>
            </w:tcMar>
          </w:tcPr>
          <w:p>
            <w:pPr>
              <w:spacing w:after="120" w:line="408" w:lineRule="auto"/>
            </w:pPr>
            <w:r>
              <w:t xml:space="preserve">/LEGAL_FILING_SYSTEM/
│
├── _SYSTEM/
│   ├── Blueprint.docx
│   ├── Case_Evidence_Workbook.xlsx
│   ├── Naming_Convention_Reference.md
│   └── Export_Templates/
│
├── CASE_01_Eviction_Defense/
│   ├── 01_Pleadings/
│   │   ├── Motions/
│   │   ├── Responses/
│   │   └── Proposed_Orders/
│   ├── 02_Evidence/
│   │   ├── Exhibits/          (EX-01-001 through EX-01-999)
│   │   ├── Photographs/
│   │   ├── Communications/    (emails, texts, letters)
│   │   └── Third_Party/       (inspection reports, public records)
│   ├── 03_Court_Filings/      (filed copies with timestamps)
│   ├── 04_Correspondence/
│   ├── 05_Research/           (statutes, case law, memos)
│   ├── 06_Narrative/          (statement of facts, timelines)
│   └── _Versions/             (ZIP checkpoints)
│
├── CASE_02_Fraud_Exposure/
│   ├── 01_Complaints/
│   ├── 02_Evidence/
│   │   ├── Financial_Records/
│   │   ├── Communications/
│   │   ├── Photographs/
│   │   └── Public_Records/
│   ├── 03_Narrative_Packets/
│   │   ├── Agency_Versions/
│   │   ├── Press_Versions/
│   │   └── Attorney_Versions/
│   ├── 04_Press_Materials/
│   ├── 05_FOIA_DataPractices/
│   └── _Versions/
│
├── CASE_03_Damage_Deposit/
│   ├── 01_Claim_Documents/
│   ├── 02_Evidence/
│   ├── 03_Correspondence/
│   └── _Versions/
│
├── CASE_04_Oversight_Complaints/
│   ├── 01_HUD_Complaints/
│   ├── 02_AG_Complaints/
│   ├── 03_MHFA_Complaints/
│   ├── 04_Supporting_Evidence/
│   └── _Versions/
│
├── CASE_05_Collective_Action/
│   ├── 01_Tenant_Statements/
│   ├── 02_Shared_Evidence/
│   ├── 03_Organizing_Materials/
│   ├── 04_Multilingual/
│   │   ├── EN/
│   │   ├── ES/
│   │   ├── SO/
│   │   └── HM/
│   └── _Versions/
│
├── _CROSS_CASE/
│   ├── Master_Timeline/
│   ├── Pattern_Analysis/
│   ├── Shared_Exhibits/
│   └── Export_Bundles/
│
└── _ARCHIVE/</w:t>
            </w:r>
          </w:p>
        </w:tc>
      </w:tr>
    </w:tbl>
    <w:p>
      <w:pPr>
        <w:spacing w:after="240" w:before="0"/>
      </w:pPr>
    </w:p>
    <w:p>
      <w:pPr>
        <w:pStyle w:val="Heading3"/>
        <w:spacing w:after="120" w:before="280" w:line="360" w:lineRule="auto"/>
      </w:pPr>
      <w:r>
        <w:rPr>
          <w:rFonts w:ascii="Cambria" w:cs="Cambria" w:eastAsia="Cambria" w:hAnsi="Cambria"/>
          <w:color w:val="000000"/>
          <w:sz w:val="28"/>
          <w:szCs w:val="28"/>
        </w:rPr>
        <w:t xml:space="preserve">3.1 Folder Branch Notes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Folder</w:t>
            </w:r>
          </w:p>
        </w:tc>
        <w:tc>
          <w:tcPr>
            <w:tcW w:type="pct" w:w="8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Purpose &amp; Rules</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_SYSTEM/</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Contains the governing documents for the entire filing system. This Blueprint, the master workbook, the naming convention quick-reference, and all export templates. These files are never case-specific.</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01_Pleadings/</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All court-bound legal documents: motions, responses, proposed orders. Organized by document type. Only documents intended for court filing belong here.</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02_Evidence/</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All evidentiary materials. Sub-organized by type (exhibits, photographs, communications, third-party records). Every item here must be logged in the workbook.</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03_Court_Filings/</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Filed copies only — documents that have been submitted through eFileMN and bear a filing timestamp. These are the permanent record. Never edit a file in this folder.</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03_Narrative_Packets/</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(Case 02) Audience-tailored versions of the same core narrative. Agency versions emphasize regulatory violations; press versions emphasize public interest; attorney versions emphasize legal theories.</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04_Multilingual/</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(Case 05) Quad-lingual materials: EN (English), ES (Spanish), SO (Somali), HM (Hmong). Each language folder mirrors the same document set.</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_Versions/</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ZIP checkpoint bundles for each case. This is the resilience layer. Minimum one checkpoint per case per week during active litigation. Named per the convention in Section 5.</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_CROSS_CASE/</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Materials that span multiple cases: the master timeline, pattern analysis documents, shared exhibits (stored once, referenced by code in each case log), and finalized export bundles.</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_ARCHIVE/</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Closed matters, superseded documents, and retired versions. Nothing in _ARCHIVE is actively referenced. Organized by case code and date archived.</w:t>
            </w:r>
          </w:p>
        </w:tc>
      </w:tr>
    </w:tbl>
    <w:p>
      <w:pPr>
        <w:spacing w:after="200" w:before="0"/>
      </w:pPr>
    </w:p>
    <w:p>
      <w:pPr>
        <w:pStyle w:val="Heading2"/>
        <w:spacing w:after="100" w:before="480" w:line="360" w:lineRule="auto"/>
      </w:pPr>
      <w:r>
        <w:rPr>
          <w:rFonts w:ascii="Cambria" w:cs="Cambria" w:eastAsia="Cambria" w:hAnsi="Cambria"/>
          <w:color w:val="000000"/>
          <w:sz w:val="36"/>
          <w:szCs w:val="36"/>
        </w:rPr>
        <w:t xml:space="preserve">SECTION 4. NAMING CONVENTIONS</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Every file in this system follows a strict naming protocol. Consistent naming ensures that any file can be identified by its name alone — without opening it or knowing its folder location. Naming is not optional. Improperly named files must be corrected immediately upon discovery.</w:t>
      </w:r>
    </w:p>
    <w:p>
      <w:pPr>
        <w:pStyle w:val="Heading3"/>
        <w:spacing w:after="120" w:before="280" w:line="360" w:lineRule="auto"/>
      </w:pPr>
      <w:r>
        <w:rPr>
          <w:rFonts w:ascii="Cambria" w:cs="Cambria" w:eastAsia="Cambria" w:hAnsi="Cambria"/>
          <w:color w:val="000000"/>
          <w:sz w:val="28"/>
          <w:szCs w:val="28"/>
        </w:rPr>
        <w:t xml:space="preserve">4.1 File Naming Formula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7" w:color="auto" w:val="clear"/>
            <w:tcMar>
              <w:top w:type="dxa" w:w="180"/>
              <w:left w:type="dxa" w:w="240"/>
              <w:bottom w:type="dxa" w:w="180"/>
              <w:right w:type="dxa" w:w="240"/>
            </w:tcMar>
          </w:tcPr>
          <w:p>
            <w:pPr>
              <w:spacing w:after="120" w:line="408" w:lineRule="auto"/>
            </w:pPr>
            <w:r>
              <w:rPr>
                <w:b/>
                <w:bCs/>
                <w:i w:val="false"/>
                <w:iCs w:val="false"/>
                <w:color w:val="000000"/>
              </w:rPr>
              <w:t xml:space="preserve">Master Naming Pattern</w:t>
            </w:r>
          </w:p>
          <w:p>
            <w:pPr>
              <w:spacing w:after="0" w:line="360" w:lineRule="auto"/>
            </w:pPr>
            <w:r>
              <w:rPr>
                <w:rFonts w:ascii="Consolas" w:cs="Consolas" w:eastAsia="Consolas" w:hAnsi="Consolas"/>
                <w:b w:val="false"/>
                <w:bCs w:val="false"/>
                <w:i w:val="false"/>
                <w:iCs w:val="false"/>
                <w:strike w:val="false"/>
                <w:color w:val="000000"/>
                <w:sz w:val="22"/>
                <w:szCs w:val="22"/>
              </w:rPr>
              <w:t xml:space="preserve">[CaseCode]-[CategoryCode]-[Descriptor]-[Version]-[Date].ext</w:t>
            </w:r>
          </w:p>
        </w:tc>
      </w:tr>
    </w:tbl>
    <w:p>
      <w:pPr>
        <w:spacing w:after="240" w:before="0"/>
      </w:pPr>
    </w:p>
    <w:p>
      <w:pPr>
        <w:spacing w:after="120" w:before="60" w:line="360" w:lineRule="auto"/>
      </w:pPr>
      <w:r>
        <w:rPr>
          <w:rFonts w:ascii="Cambria" w:cs="Cambria" w:eastAsia="Cambria" w:hAnsi="Cambria"/>
          <w:b/>
          <w:bCs/>
          <w:i w:val="false"/>
          <w:iCs w:val="false"/>
          <w:strike w:val="false"/>
          <w:color w:val="000000"/>
          <w:sz w:val="22"/>
          <w:szCs w:val="22"/>
        </w:rPr>
        <w:t xml:space="preserve">Examples:</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C01-MOT-DismissForCause-v2-20260401.docx</w:t>
      </w:r>
      <w:r>
        <w:rPr>
          <w:rFonts w:ascii="Cambria" w:cs="Cambria" w:eastAsia="Cambria" w:hAnsi="Cambria"/>
          <w:b w:val="false"/>
          <w:bCs w:val="false"/>
          <w:i w:val="false"/>
          <w:iCs w:val="false"/>
          <w:strike w:val="false"/>
          <w:color w:val="000000"/>
          <w:sz w:val="22"/>
          <w:szCs w:val="22"/>
        </w:rPr>
        <w:t xml:space="preserve"> — Case 01, Motion, second draft</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C02-NAR-AgencyPacket-v3-20260315.pdf</w:t>
      </w:r>
      <w:r>
        <w:rPr>
          <w:rFonts w:ascii="Cambria" w:cs="Cambria" w:eastAsia="Cambria" w:hAnsi="Cambria"/>
          <w:b w:val="false"/>
          <w:bCs w:val="false"/>
          <w:i w:val="false"/>
          <w:iCs w:val="false"/>
          <w:strike w:val="false"/>
          <w:color w:val="000000"/>
          <w:sz w:val="22"/>
          <w:szCs w:val="22"/>
        </w:rPr>
        <w:t xml:space="preserve"> — Case 02, Narrative, third version for agency</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C01-EX-001-WaterDamagePhoto-20260210.jpg</w:t>
      </w:r>
      <w:r>
        <w:rPr>
          <w:rFonts w:ascii="Cambria" w:cs="Cambria" w:eastAsia="Cambria" w:hAnsi="Cambria"/>
          <w:b w:val="false"/>
          <w:bCs w:val="false"/>
          <w:i w:val="false"/>
          <w:iCs w:val="false"/>
          <w:strike w:val="false"/>
          <w:color w:val="000000"/>
          <w:sz w:val="22"/>
          <w:szCs w:val="22"/>
        </w:rPr>
        <w:t xml:space="preserve"> — Case 01, Exhibit 001, photograph</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C03-COR-DemandLetter-v1-SENT-LexMgmt-20260320.pdf</w:t>
      </w:r>
      <w:r>
        <w:rPr>
          <w:rFonts w:ascii="Cambria" w:cs="Cambria" w:eastAsia="Cambria" w:hAnsi="Cambria"/>
          <w:b w:val="false"/>
          <w:bCs w:val="false"/>
          <w:i w:val="false"/>
          <w:iCs w:val="false"/>
          <w:strike w:val="false"/>
          <w:color w:val="000000"/>
          <w:sz w:val="22"/>
          <w:szCs w:val="22"/>
        </w:rPr>
        <w:t xml:space="preserve"> — Sent and frozen</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C01-MOT-StayOfProceedings-v4-FILED-20260328.pdf</w:t>
      </w:r>
      <w:r>
        <w:rPr>
          <w:rFonts w:ascii="Cambria" w:cs="Cambria" w:eastAsia="Cambria" w:hAnsi="Cambria"/>
          <w:b w:val="false"/>
          <w:bCs w:val="false"/>
          <w:i w:val="false"/>
          <w:iCs w:val="false"/>
          <w:strike w:val="false"/>
          <w:color w:val="000000"/>
          <w:sz w:val="22"/>
          <w:szCs w:val="22"/>
        </w:rPr>
        <w:t xml:space="preserve"> — Filed and frozen</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C05-TS-Apt212-Incident-v1-20260301.docx</w:t>
      </w:r>
      <w:r>
        <w:rPr>
          <w:rFonts w:ascii="Cambria" w:cs="Cambria" w:eastAsia="Cambria" w:hAnsi="Cambria"/>
          <w:b w:val="false"/>
          <w:bCs w:val="false"/>
          <w:i w:val="false"/>
          <w:iCs w:val="false"/>
          <w:strike w:val="false"/>
          <w:color w:val="000000"/>
          <w:sz w:val="22"/>
          <w:szCs w:val="22"/>
        </w:rPr>
        <w:t xml:space="preserve"> — Tenant statement, Case 05</w:t>
      </w:r>
    </w:p>
    <w:p>
      <w:pPr>
        <w:pStyle w:val="Heading3"/>
        <w:spacing w:after="120" w:before="280" w:line="360" w:lineRule="auto"/>
      </w:pPr>
      <w:r>
        <w:rPr>
          <w:rFonts w:ascii="Cambria" w:cs="Cambria" w:eastAsia="Cambria" w:hAnsi="Cambria"/>
          <w:color w:val="000000"/>
          <w:sz w:val="28"/>
          <w:szCs w:val="28"/>
        </w:rPr>
        <w:t xml:space="preserve">4.2 Case Codes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Code</w:t>
            </w:r>
          </w:p>
        </w:tc>
        <w:tc>
          <w:tcPr>
            <w:tcW w:type="pct" w:w="87%"/>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Case</w:t>
            </w:r>
          </w:p>
        </w:tc>
      </w:tr>
      <w:tr>
        <w:trPr>
          <w:tblHeader w:val="false"/>
        </w:trPr>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C01</w:t>
            </w:r>
          </w:p>
        </w:tc>
        <w:tc>
          <w:tcPr>
            <w:tcW w:type="pct" w:w="8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Dakota County Eviction Defense</w:t>
            </w:r>
          </w:p>
        </w:tc>
      </w:tr>
      <w:tr>
        <w:trPr>
          <w:tblHeader w:val="false"/>
        </w:trPr>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C02</w:t>
            </w:r>
          </w:p>
        </w:tc>
        <w:tc>
          <w:tcPr>
            <w:tcW w:type="pct" w:w="8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Lexington Flats Fraud &amp; Mismanagement Exposure</w:t>
            </w:r>
          </w:p>
        </w:tc>
      </w:tr>
      <w:tr>
        <w:trPr>
          <w:tblHeader w:val="false"/>
        </w:trPr>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C03</w:t>
            </w:r>
          </w:p>
        </w:tc>
        <w:tc>
          <w:tcPr>
            <w:tcW w:type="pct" w:w="8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Damage Deposit Claim</w:t>
            </w:r>
          </w:p>
        </w:tc>
      </w:tr>
      <w:tr>
        <w:trPr>
          <w:tblHeader w:val="false"/>
        </w:trPr>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C04</w:t>
            </w:r>
          </w:p>
        </w:tc>
        <w:tc>
          <w:tcPr>
            <w:tcW w:type="pct" w:w="8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Systemic Oversight Complaints</w:t>
            </w:r>
          </w:p>
        </w:tc>
      </w:tr>
      <w:tr>
        <w:trPr>
          <w:tblHeader w:val="false"/>
        </w:trPr>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C05</w:t>
            </w:r>
          </w:p>
        </w:tc>
        <w:tc>
          <w:tcPr>
            <w:tcW w:type="pct" w:w="8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Collective Tenant Action</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4.3 Category Codes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Code</w:t>
            </w:r>
          </w:p>
        </w:tc>
        <w:tc>
          <w:tcPr>
            <w:tcW w:type="pct" w:w="2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Category</w:t>
            </w:r>
          </w:p>
        </w:tc>
        <w:tc>
          <w:tcPr>
            <w:tcW w:type="pct" w:w="63%"/>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Typical File Types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MOT</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Motion</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Motions to dismiss, stay, compel, amend</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RES</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Response</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Responses to motions, answers, replies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ORD</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Order (Proposed)</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Proposed orders submitted with motions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EX</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Exhibit</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Evidentiary exhibits (photos, docs, records)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NAR</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Narrative</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Statement of facts, narrative packets, case summaries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COR</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Correspondence</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Letters, emails (exported), formal notices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MEM</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Memo</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Research memos, legal analysis, strategy notes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TML</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Timeline</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Chronological event timelines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COM</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Complaint</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Formal complaints to agencies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PR</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Press Release</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Media communications, press statements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FOIA</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Records Request</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FOIA requests, MN Data Practices Act requests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TS</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Tenant Statement</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Written witness/tenant statements</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4.4 Version &amp; Status Suffixes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Suffix</w:t>
            </w:r>
          </w:p>
        </w:tc>
        <w:tc>
          <w:tcPr>
            <w:tcW w:type="pct" w:w="18%"/>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Meaning</w:t>
            </w:r>
          </w:p>
        </w:tc>
        <w:tc>
          <w:tcPr>
            <w:tcW w:type="pct" w:w="66%"/>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Rules</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-v1, -v2, -v3...</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Working draft version</w:t>
            </w:r>
          </w:p>
        </w:tc>
        <w:tc>
          <w:tcPr>
            <w:tcW w:type="pct" w:w="6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Incremented with each substantive revision. Never overwrite — always create a new version number.</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-FILED</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Filed with court</w:t>
            </w:r>
          </w:p>
        </w:tc>
        <w:tc>
          <w:tcPr>
            <w:tcW w:type="pct" w:w="6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Appended after version number. This version is </w:t>
            </w:r>
            <w:r>
              <w:rPr>
                <w:rFonts w:ascii="Cambria" w:cs="Cambria" w:eastAsia="Cambria" w:hAnsi="Cambria"/>
                <w:b/>
                <w:bCs/>
                <w:i w:val="false"/>
                <w:iCs w:val="false"/>
                <w:strike w:val="false"/>
                <w:color w:val="000000"/>
                <w:sz w:val="22"/>
                <w:szCs w:val="22"/>
              </w:rPr>
              <w:t xml:space="preserve">permanently frozen</w:t>
            </w:r>
            <w:r>
              <w:rPr>
                <w:rFonts w:ascii="Cambria" w:cs="Cambria" w:eastAsia="Cambria" w:hAnsi="Cambria"/>
                <w:b w:val="false"/>
                <w:bCs w:val="false"/>
                <w:i w:val="false"/>
                <w:iCs w:val="false"/>
                <w:strike w:val="false"/>
                <w:color w:val="000000"/>
                <w:sz w:val="20"/>
                <w:szCs w:val="20"/>
              </w:rPr>
              <w:t xml:space="preserve">. No further edits. Example: </w:t>
            </w:r>
            <w:r>
              <w:rPr>
                <w:rFonts w:ascii="Consolas" w:cs="Consolas" w:eastAsia="Consolas" w:hAnsi="Consolas"/>
                <w:b w:val="false"/>
                <w:bCs w:val="false"/>
                <w:i w:val="false"/>
                <w:iCs w:val="false"/>
                <w:strike w:val="false"/>
                <w:color w:val="000000"/>
                <w:sz w:val="20"/>
                <w:szCs w:val="20"/>
                <w:shd w:fill="F0F0F0" w:color="auto" w:val="clear"/>
              </w:rPr>
              <w:t xml:space="preserve">-v4-FILED-20260328</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-SENT-[Recipient]</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Sent to recipient</w:t>
            </w:r>
          </w:p>
        </w:tc>
        <w:tc>
          <w:tcPr>
            <w:tcW w:type="pct" w:w="6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Appended after version number. Frozen upon sending. Recipient is a short identifier. Example: </w:t>
            </w:r>
            <w:r>
              <w:rPr>
                <w:rFonts w:ascii="Consolas" w:cs="Consolas" w:eastAsia="Consolas" w:hAnsi="Consolas"/>
                <w:b w:val="false"/>
                <w:bCs w:val="false"/>
                <w:i w:val="false"/>
                <w:iCs w:val="false"/>
                <w:strike w:val="false"/>
                <w:color w:val="000000"/>
                <w:sz w:val="20"/>
                <w:szCs w:val="20"/>
                <w:shd w:fill="F0F0F0" w:color="auto" w:val="clear"/>
              </w:rPr>
              <w:t xml:space="preserve">-v2-SENT-HUD-20260315</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4.5 Date Format</w:t>
      </w:r>
    </w:p>
    <w:p>
      <w:pPr>
        <w:spacing w:after="120" w:before="60" w:line="360" w:lineRule="auto"/>
      </w:pPr>
      <w:r>
        <w:rPr>
          <w:rFonts w:ascii="Cambria" w:cs="Cambria" w:eastAsia="Cambria" w:hAnsi="Cambria"/>
          <w:b/>
          <w:bCs/>
          <w:i w:val="false"/>
          <w:iCs w:val="false"/>
          <w:strike w:val="false"/>
          <w:color w:val="000000"/>
          <w:sz w:val="22"/>
          <w:szCs w:val="22"/>
        </w:rPr>
        <w:t xml:space="preserve">Always YYYYMMDD.</w:t>
      </w:r>
      <w:r>
        <w:rPr>
          <w:rFonts w:ascii="Cambria" w:cs="Cambria" w:eastAsia="Cambria" w:hAnsi="Cambria"/>
          <w:b w:val="false"/>
          <w:bCs w:val="false"/>
          <w:i w:val="false"/>
          <w:iCs w:val="false"/>
          <w:strike w:val="false"/>
          <w:color w:val="000000"/>
          <w:sz w:val="22"/>
          <w:szCs w:val="22"/>
        </w:rPr>
        <w:t xml:space="preserve"> No exceptions. No slashes, no dashes within the date, no abbreviated years. Example: </w:t>
      </w:r>
      <w:r>
        <w:rPr>
          <w:rFonts w:ascii="Consolas" w:cs="Consolas" w:eastAsia="Consolas" w:hAnsi="Consolas"/>
          <w:b w:val="false"/>
          <w:bCs w:val="false"/>
          <w:i w:val="false"/>
          <w:iCs w:val="false"/>
          <w:strike w:val="false"/>
          <w:color w:val="000000"/>
          <w:sz w:val="20"/>
          <w:szCs w:val="20"/>
          <w:shd w:fill="F0F0F0" w:color="auto" w:val="clear"/>
        </w:rPr>
        <w:t xml:space="preserve">20260401</w:t>
      </w:r>
      <w:r>
        <w:rPr>
          <w:rFonts w:ascii="Cambria" w:cs="Cambria" w:eastAsia="Cambria" w:hAnsi="Cambria"/>
          <w:b w:val="false"/>
          <w:bCs w:val="false"/>
          <w:i w:val="false"/>
          <w:iCs w:val="false"/>
          <w:strike w:val="false"/>
          <w:color w:val="000000"/>
          <w:sz w:val="22"/>
          <w:szCs w:val="22"/>
        </w:rPr>
        <w:t xml:space="preserve"> for April 1, 2026.</w:t>
      </w:r>
    </w:p>
    <w:p>
      <w:pPr>
        <w:pStyle w:val="Heading3"/>
        <w:spacing w:after="120" w:before="280" w:line="360" w:lineRule="auto"/>
      </w:pPr>
      <w:r>
        <w:rPr>
          <w:rFonts w:ascii="Cambria" w:cs="Cambria" w:eastAsia="Cambria" w:hAnsi="Cambria"/>
          <w:color w:val="000000"/>
          <w:sz w:val="28"/>
          <w:szCs w:val="28"/>
        </w:rPr>
        <w:t xml:space="preserve">4.6 Exhibit Numbering</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Exhibits are numbered sequentially within each case using a three-digit counter: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7" w:color="auto" w:val="clear"/>
            <w:tcMar>
              <w:top w:type="dxa" w:w="180"/>
              <w:left w:type="dxa" w:w="240"/>
              <w:bottom w:type="dxa" w:w="180"/>
              <w:right w:type="dxa" w:w="240"/>
            </w:tcMar>
          </w:tcPr>
          <w:p>
            <w:pPr>
              <w:spacing w:after="120" w:line="408" w:lineRule="auto"/>
            </w:pPr>
            <w:r>
              <w:rPr>
                <w:b/>
                <w:bCs/>
                <w:i w:val="false"/>
                <w:iCs w:val="false"/>
                <w:color w:val="000000"/>
              </w:rPr>
              <w:t xml:space="preserve">Exhibit Number Format</w:t>
            </w:r>
          </w:p>
          <w:p>
            <w:pPr>
              <w:spacing w:after="0" w:line="360" w:lineRule="auto"/>
            </w:pPr>
            <w:r>
              <w:rPr>
                <w:rFonts w:ascii="Consolas" w:cs="Consolas" w:eastAsia="Consolas" w:hAnsi="Consolas"/>
                <w:b w:val="false"/>
                <w:bCs w:val="false"/>
                <w:i w:val="false"/>
                <w:iCs w:val="false"/>
                <w:strike w:val="false"/>
                <w:color w:val="000000"/>
                <w:sz w:val="22"/>
                <w:szCs w:val="22"/>
              </w:rPr>
              <w:t xml:space="preserve">EX-[CaseNumber]-[Sequential 3-digit]</w:t>
            </w:r>
          </w:p>
          <w:p>
            <w:pPr>
              <w:spacing w:after="0" w:line="360" w:lineRule="auto"/>
            </w:pPr>
            <w:r>
              <w:rPr>
                <w:rFonts w:ascii="Cambria" w:cs="Cambria" w:eastAsia="Cambria" w:hAnsi="Cambria"/>
                <w:b w:val="false"/>
                <w:bCs w:val="false"/>
                <w:i w:val="false"/>
                <w:iCs w:val="false"/>
                <w:strike w:val="false"/>
                <w:color w:val="000000"/>
                <w:sz w:val="22"/>
                <w:szCs w:val="22"/>
              </w:rPr>
              <w:t xml:space="preserve">EX-01-001    EX-01-014    EX-02-003    EX-05-027</w:t>
            </w:r>
          </w:p>
        </w:tc>
      </w:tr>
    </w:tbl>
    <w:p>
      <w:pPr>
        <w:spacing w:after="24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Each exhibit number is assigned once and never reused, even if the exhibit is withdrawn. Gaps in numbering are acceptable; reuse is not.</w:t>
      </w:r>
    </w:p>
    <w:p>
      <w:pPr>
        <w:pStyle w:val="Heading2"/>
        <w:spacing w:after="100" w:before="480" w:line="360" w:lineRule="auto"/>
      </w:pPr>
      <w:r>
        <w:rPr>
          <w:rFonts w:ascii="Cambria" w:cs="Cambria" w:eastAsia="Cambria" w:hAnsi="Cambria"/>
          <w:color w:val="000000"/>
          <w:sz w:val="36"/>
          <w:szCs w:val="36"/>
        </w:rPr>
        <w:t xml:space="preserve">SECTION 5. VERSION CONTROL PROTOCOL</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Version control operates on three independent tiers. Each tier serves a distinct purpose. All three must be maintained. The failure of any single tier is recoverable from the other two.</w:t>
      </w:r>
    </w:p>
    <w:p>
      <w:pPr>
        <w:pStyle w:val="Heading3"/>
        <w:spacing w:after="120" w:before="280" w:line="360" w:lineRule="auto"/>
      </w:pPr>
      <w:r>
        <w:rPr>
          <w:rFonts w:ascii="Cambria" w:cs="Cambria" w:eastAsia="Cambria" w:hAnsi="Cambria"/>
          <w:color w:val="000000"/>
          <w:sz w:val="28"/>
          <w:szCs w:val="28"/>
        </w:rPr>
        <w:t xml:space="preserve">5.1 Tier 1 — File-Level Versioning</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Every document uses the </w:t>
      </w:r>
      <w:r>
        <w:rPr>
          <w:rFonts w:ascii="Consolas" w:cs="Consolas" w:eastAsia="Consolas" w:hAnsi="Consolas"/>
          <w:b w:val="false"/>
          <w:bCs w:val="false"/>
          <w:i w:val="false"/>
          <w:iCs w:val="false"/>
          <w:strike w:val="false"/>
          <w:color w:val="000000"/>
          <w:sz w:val="20"/>
          <w:szCs w:val="20"/>
          <w:shd w:fill="F0F0F0" w:color="auto" w:val="clear"/>
        </w:rPr>
        <w:t xml:space="preserve">-v1, -v2, -v3</w:t>
      </w:r>
      <w:r>
        <w:rPr>
          <w:rFonts w:ascii="Cambria" w:cs="Cambria" w:eastAsia="Cambria" w:hAnsi="Cambria"/>
          <w:b w:val="false"/>
          <w:bCs w:val="false"/>
          <w:i w:val="false"/>
          <w:iCs w:val="false"/>
          <w:strike w:val="false"/>
          <w:color w:val="000000"/>
          <w:sz w:val="22"/>
          <w:szCs w:val="22"/>
        </w:rPr>
        <w:t xml:space="preserve"> naming convention as defined in Section 4.</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Never overwrite a file.</w:t>
      </w:r>
      <w:r>
        <w:rPr>
          <w:rFonts w:ascii="Cambria" w:cs="Cambria" w:eastAsia="Cambria" w:hAnsi="Cambria"/>
          <w:b w:val="false"/>
          <w:bCs w:val="false"/>
          <w:i w:val="false"/>
          <w:iCs w:val="false"/>
          <w:strike w:val="false"/>
          <w:color w:val="000000"/>
          <w:sz w:val="22"/>
          <w:szCs w:val="22"/>
        </w:rPr>
        <w:t xml:space="preserve"> Always save as a new version number. The prior version remains intact in the same folder.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w:t>
      </w:r>
      <w:r>
        <w:rPr>
          <w:rFonts w:ascii="Consolas" w:cs="Consolas" w:eastAsia="Consolas" w:hAnsi="Consolas"/>
          <w:b w:val="false"/>
          <w:bCs w:val="false"/>
          <w:i w:val="false"/>
          <w:iCs w:val="false"/>
          <w:strike w:val="false"/>
          <w:color w:val="000000"/>
          <w:sz w:val="20"/>
          <w:szCs w:val="20"/>
          <w:shd w:fill="F0F0F0" w:color="auto" w:val="clear"/>
        </w:rPr>
        <w:t xml:space="preserve">-FILED</w:t>
      </w:r>
      <w:r>
        <w:rPr>
          <w:rFonts w:ascii="Cambria" w:cs="Cambria" w:eastAsia="Cambria" w:hAnsi="Cambria"/>
          <w:b w:val="false"/>
          <w:bCs w:val="false"/>
          <w:i w:val="false"/>
          <w:iCs w:val="false"/>
          <w:strike w:val="false"/>
          <w:color w:val="000000"/>
          <w:sz w:val="22"/>
          <w:szCs w:val="22"/>
        </w:rPr>
        <w:t xml:space="preserve"> suffix freezes a version permanently. No edits after filing. If changes are needed, create a new version number and file an amended document.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w:t>
      </w:r>
      <w:r>
        <w:rPr>
          <w:rFonts w:ascii="Consolas" w:cs="Consolas" w:eastAsia="Consolas" w:hAnsi="Consolas"/>
          <w:b w:val="false"/>
          <w:bCs w:val="false"/>
          <w:i w:val="false"/>
          <w:iCs w:val="false"/>
          <w:strike w:val="false"/>
          <w:color w:val="000000"/>
          <w:sz w:val="20"/>
          <w:szCs w:val="20"/>
          <w:shd w:fill="F0F0F0" w:color="auto" w:val="clear"/>
        </w:rPr>
        <w:t xml:space="preserve">-SENT-[Recipient]</w:t>
      </w:r>
      <w:r>
        <w:rPr>
          <w:rFonts w:ascii="Cambria" w:cs="Cambria" w:eastAsia="Cambria" w:hAnsi="Cambria"/>
          <w:b w:val="false"/>
          <w:bCs w:val="false"/>
          <w:i w:val="false"/>
          <w:iCs w:val="false"/>
          <w:strike w:val="false"/>
          <w:color w:val="000000"/>
          <w:sz w:val="22"/>
          <w:szCs w:val="22"/>
        </w:rPr>
        <w:t xml:space="preserve"> suffix freezes a version upon transmission. The sent copy is the permanent record of what the recipient received.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Working drafts (v1, v2, etc.) may be pruned during monthly maintenance, but only if a later version or a FILED/SENT version exists.</w:t>
      </w:r>
    </w:p>
    <w:p>
      <w:pPr>
        <w:pStyle w:val="Heading3"/>
        <w:spacing w:after="120" w:before="280" w:line="360" w:lineRule="auto"/>
      </w:pPr>
      <w:r>
        <w:rPr>
          <w:rFonts w:ascii="Cambria" w:cs="Cambria" w:eastAsia="Cambria" w:hAnsi="Cambria"/>
          <w:color w:val="000000"/>
          <w:sz w:val="28"/>
          <w:szCs w:val="28"/>
        </w:rPr>
        <w:t xml:space="preserve">5.2 Tier 2 — ZIP Checkpoint Bundles</w:t>
      </w:r>
    </w:p>
    <w:p>
      <w:pPr>
        <w:pStyle w:val="ListParagraph"/>
        <w:numPr>
          <w:ilvl w:val="0"/>
          <w:numId w:val="1"/>
        </w:numPr>
        <w:spacing w:after="60" w:line="408" w:lineRule="auto"/>
        <w:ind w:left="720" w:hanging="360"/>
      </w:pPr>
      <w:r>
        <w:t xml:space="preserve">At every major milestone, create a ZIP checkpoint capturing the full state of the case folder at that moment.</w:t>
      </w:r>
    </w:p>
    <w:p>
      <w:pPr>
        <w:pStyle w:val="ListParagraph"/>
        <w:numPr>
          <w:ilvl w:val="0"/>
          <w:numId w:val="1"/>
        </w:numPr>
        <w:spacing w:after="60" w:line="408" w:lineRule="auto"/>
        <w:ind w:left="720" w:hanging="360"/>
      </w:pPr>
      <w:r>
        <w:rPr>
          <w:b/>
          <w:bCs/>
          <w:color w:val="000000"/>
        </w:rPr>
        <w:t xml:space="preserve">Checkpoint triggers:</w:t>
      </w:r>
      <w:r>
        <w:t xml:space="preserve"> Filing submitted to court, packet sent to agency/press/attorney, evidence batch compiled, weekly maintenance cycle, and before any major reorganization.</w:t>
      </w:r>
    </w:p>
    <w:p>
      <w:pPr>
        <w:pStyle w:val="ListParagraph"/>
        <w:numPr>
          <w:ilvl w:val="0"/>
          <w:numId w:val="1"/>
        </w:numPr>
        <w:spacing w:after="60" w:line="408" w:lineRule="auto"/>
        <w:ind w:left="720" w:hanging="360"/>
      </w:pPr>
      <w:r>
        <w:rPr>
          <w:b/>
          <w:bCs/>
          <w:color w:val="000000"/>
        </w:rPr>
        <w:t xml:space="preserve">Naming convention:</w:t>
      </w:r>
      <w:r>
        <w:t xml:space="preserve"> </w:t>
      </w:r>
      <w:r>
        <w:rPr>
          <w:color w:val="000000"/>
          <w:shd w:fill="F0F0F0" w:color="auto" w:val="clear"/>
        </w:rPr>
        <w:t xml:space="preserve">[CaseCode]_Checkpoint_[Descriptor]_[YYYYMMDD].zip</w:t>
      </w:r>
    </w:p>
    <w:p>
      <w:pPr>
        <w:pStyle w:val="ListParagraph"/>
        <w:numPr>
          <w:ilvl w:val="0"/>
          <w:numId w:val="1"/>
        </w:numPr>
        <w:spacing w:after="60" w:line="408" w:lineRule="auto"/>
        <w:ind w:left="720" w:hanging="360"/>
      </w:pPr>
      <w:r>
        <w:rPr>
          <w:b/>
          <w:bCs/>
          <w:color w:val="000000"/>
        </w:rPr>
        <w:t xml:space="preserve">Examples:</w:t>
      </w:r>
    </w:p>
    <w:p>
      <w:pPr>
        <w:pStyle w:val="ListParagraph"/>
        <w:numPr>
          <w:ilvl w:val="1"/>
          <w:numId w:val="1"/>
        </w:numPr>
        <w:spacing w:after="60" w:line="408" w:lineRule="auto"/>
        <w:ind w:left="1440" w:hanging="360"/>
      </w:pPr>
      <w:r>
        <w:rPr>
          <w:color w:val="000000"/>
          <w:shd w:fill="F0F0F0" w:color="auto" w:val="clear"/>
        </w:rPr>
        <w:t xml:space="preserve">C01_Checkpoint_MotionToStayFiled_20260328.zip</w:t>
      </w:r>
    </w:p>
    <w:p>
      <w:pPr>
        <w:pStyle w:val="ListParagraph"/>
        <w:numPr>
          <w:ilvl w:val="1"/>
          <w:numId w:val="1"/>
        </w:numPr>
        <w:spacing w:after="60" w:line="408" w:lineRule="auto"/>
        <w:ind w:left="1440" w:hanging="360"/>
      </w:pPr>
      <w:r>
        <w:rPr>
          <w:color w:val="000000"/>
          <w:shd w:fill="F0F0F0" w:color="auto" w:val="clear"/>
        </w:rPr>
        <w:t xml:space="preserve">C02_Checkpoint_HUDPacketSent_20260315.zip</w:t>
      </w:r>
    </w:p>
    <w:p>
      <w:pPr>
        <w:pStyle w:val="ListParagraph"/>
        <w:numPr>
          <w:ilvl w:val="1"/>
          <w:numId w:val="1"/>
        </w:numPr>
        <w:spacing w:after="60" w:line="408" w:lineRule="auto"/>
        <w:ind w:left="1440" w:hanging="360"/>
      </w:pPr>
      <w:r>
        <w:rPr>
          <w:color w:val="000000"/>
          <w:shd w:fill="F0F0F0" w:color="auto" w:val="clear"/>
        </w:rPr>
        <w:t xml:space="preserve">C05_Checkpoint_WeeklyBackup_20260401.zip</w:t>
      </w:r>
    </w:p>
    <w:p>
      <w:pPr>
        <w:pStyle w:val="ListParagraph"/>
        <w:numPr>
          <w:ilvl w:val="0"/>
          <w:numId w:val="1"/>
        </w:numPr>
        <w:spacing w:after="60" w:line="408" w:lineRule="auto"/>
        <w:ind w:left="720" w:hanging="360"/>
      </w:pPr>
      <w:r>
        <w:t xml:space="preserve">Store all checkpoints in the case’s </w:t>
      </w:r>
      <w:r>
        <w:rPr>
          <w:color w:val="000000"/>
          <w:shd w:fill="F0F0F0" w:color="auto" w:val="clear"/>
        </w:rPr>
        <w:t xml:space="preserve">_Versions/</w:t>
      </w:r>
      <w:r>
        <w:t xml:space="preserve"> folder.</w:t>
      </w:r>
    </w:p>
    <w:p>
      <w:pPr>
        <w:pStyle w:val="ListParagraph"/>
        <w:numPr>
          <w:ilvl w:val="0"/>
          <w:numId w:val="1"/>
        </w:numPr>
        <w:spacing w:after="60" w:line="408" w:lineRule="auto"/>
        <w:ind w:left="720" w:hanging="360"/>
      </w:pPr>
      <w:r>
        <w:t xml:space="preserve">This is the resilience layer. If anything is lost, corrupted, or accidentally deleted, the last checkpoint restores the full state of the case at that point in time.</w:t>
      </w:r>
    </w:p>
    <w:p>
      <w:pPr>
        <w:pStyle w:val="ListParagraph"/>
        <w:numPr>
          <w:ilvl w:val="0"/>
          <w:numId w:val="1"/>
        </w:numPr>
        <w:spacing w:after="60" w:line="408" w:lineRule="auto"/>
        <w:ind w:left="720" w:hanging="360"/>
      </w:pPr>
      <w:r>
        <w:rPr>
          <w:b/>
          <w:bCs/>
          <w:color w:val="000000"/>
        </w:rPr>
        <w:t xml:space="preserve">Minimum frequency:</w:t>
      </w:r>
      <w:r>
        <w:t xml:space="preserve"> One checkpoint per case per week during active litigation.</w:t>
      </w:r>
    </w:p>
    <w:p>
      <w:pPr>
        <w:pStyle w:val="Heading3"/>
        <w:spacing w:after="120" w:before="280" w:line="360" w:lineRule="auto"/>
      </w:pPr>
      <w:r>
        <w:rPr>
          <w:rFonts w:ascii="Cambria" w:cs="Cambria" w:eastAsia="Cambria" w:hAnsi="Cambria"/>
          <w:color w:val="000000"/>
          <w:sz w:val="28"/>
          <w:szCs w:val="28"/>
        </w:rPr>
        <w:t xml:space="preserve">5.3 Tier 3 — GitHub Repository</w:t>
      </w:r>
    </w:p>
    <w:p>
      <w:pPr>
        <w:pStyle w:val="ListParagraph"/>
        <w:numPr>
          <w:ilvl w:val="0"/>
          <w:numId w:val="1"/>
        </w:numPr>
        <w:spacing w:after="60" w:line="408" w:lineRule="auto"/>
        <w:ind w:left="720" w:hanging="360"/>
      </w:pPr>
      <w:r>
        <w:t xml:space="preserve">Push checkpoint ZIPs and key documents to GitHub under the </w:t>
      </w:r>
      <w:r>
        <w:rPr>
          <w:b/>
          <w:bCs/>
          <w:color w:val="000000"/>
        </w:rPr>
        <w:t xml:space="preserve">Bradleycrowe</w:t>
      </w:r>
      <w:r>
        <w:t xml:space="preserve"> account.</w:t>
      </w:r>
    </w:p>
    <w:p>
      <w:pPr>
        <w:pStyle w:val="ListParagraph"/>
        <w:numPr>
          <w:ilvl w:val="0"/>
          <w:numId w:val="1"/>
        </w:numPr>
        <w:spacing w:after="60" w:line="408" w:lineRule="auto"/>
        <w:ind w:left="720" w:hanging="360"/>
      </w:pPr>
      <w:r>
        <w:rPr>
          <w:b/>
          <w:bCs/>
          <w:color w:val="000000"/>
        </w:rPr>
        <w:t xml:space="preserve">Branch naming:</w:t>
      </w:r>
      <w:r>
        <w:t xml:space="preserve"> </w:t>
      </w:r>
      <w:r>
        <w:rPr>
          <w:color w:val="000000"/>
          <w:shd w:fill="F0F0F0" w:color="auto" w:val="clear"/>
        </w:rPr>
        <w:t xml:space="preserve">case/[case-code]/[descriptor]</w:t>
      </w:r>
    </w:p>
    <w:p>
      <w:pPr>
        <w:pStyle w:val="ListParagraph"/>
        <w:numPr>
          <w:ilvl w:val="1"/>
          <w:numId w:val="1"/>
        </w:numPr>
        <w:spacing w:after="60" w:line="408" w:lineRule="auto"/>
        <w:ind w:left="1440" w:hanging="360"/>
      </w:pPr>
      <w:r>
        <w:t xml:space="preserve">Examples: </w:t>
      </w:r>
      <w:r>
        <w:rPr>
          <w:color w:val="000000"/>
          <w:shd w:fill="F0F0F0" w:color="auto" w:val="clear"/>
        </w:rPr>
        <w:t xml:space="preserve">case/c01/eviction-defense</w:t>
      </w:r>
      <w:r>
        <w:t xml:space="preserve">, </w:t>
      </w:r>
      <w:r>
        <w:rPr>
          <w:color w:val="000000"/>
          <w:shd w:fill="F0F0F0" w:color="auto" w:val="clear"/>
        </w:rPr>
        <w:t xml:space="preserve">case/c02/fraud-exposure</w:t>
      </w:r>
    </w:p>
    <w:p>
      <w:pPr>
        <w:pStyle w:val="ListParagraph"/>
        <w:numPr>
          <w:ilvl w:val="0"/>
          <w:numId w:val="1"/>
        </w:numPr>
        <w:spacing w:after="60" w:line="408" w:lineRule="auto"/>
        <w:ind w:left="720" w:hanging="360"/>
      </w:pPr>
      <w:r>
        <w:rPr>
          <w:b/>
          <w:bCs/>
          <w:color w:val="000000"/>
        </w:rPr>
        <w:t xml:space="preserve">Commit message format:</w:t>
      </w:r>
      <w:r>
        <w:t xml:space="preserve"> </w:t>
      </w:r>
      <w:r>
        <w:rPr>
          <w:color w:val="000000"/>
          <w:shd w:fill="F0F0F0" w:color="auto" w:val="clear"/>
        </w:rPr>
        <w:t xml:space="preserve">[CaseCode] [Action] [Brief description]</w:t>
      </w:r>
    </w:p>
    <w:p>
      <w:pPr>
        <w:pStyle w:val="ListParagraph"/>
        <w:numPr>
          <w:ilvl w:val="1"/>
          <w:numId w:val="1"/>
        </w:numPr>
        <w:spacing w:after="60" w:line="408" w:lineRule="auto"/>
        <w:ind w:left="1440" w:hanging="360"/>
      </w:pPr>
      <w:r>
        <w:t xml:space="preserve">Examples: </w:t>
      </w:r>
      <w:r>
        <w:rPr>
          <w:color w:val="000000"/>
          <w:shd w:fill="F0F0F0" w:color="auto" w:val="clear"/>
        </w:rPr>
        <w:t xml:space="preserve">[C01] FILED Motion to Stay of Proceedings</w:t>
      </w:r>
      <w:r>
        <w:t xml:space="preserve">, </w:t>
      </w:r>
      <w:r>
        <w:rPr>
          <w:color w:val="000000"/>
          <w:shd w:fill="F0F0F0" w:color="auto" w:val="clear"/>
        </w:rPr>
        <w:t xml:space="preserve">[C02] SENT HUD complaint packet</w:t>
      </w:r>
    </w:p>
    <w:p>
      <w:pPr>
        <w:pStyle w:val="ListParagraph"/>
        <w:numPr>
          <w:ilvl w:val="0"/>
          <w:numId w:val="1"/>
        </w:numPr>
        <w:spacing w:after="60" w:line="408" w:lineRule="auto"/>
        <w:ind w:left="720" w:hanging="360"/>
      </w:pPr>
      <w:r>
        <w:t xml:space="preserve">This creates an immutable, timestamped audit trail. Git commits cannot be retroactively altered without detection.</w:t>
      </w:r>
    </w:p>
    <w:p>
      <w:pPr>
        <w:pStyle w:val="ListParagraph"/>
        <w:numPr>
          <w:ilvl w:val="0"/>
          <w:numId w:val="1"/>
        </w:numPr>
        <w:spacing w:after="60" w:line="408" w:lineRule="auto"/>
        <w:ind w:left="720" w:hanging="360"/>
      </w:pPr>
      <w:r>
        <w:t xml:space="preserve">Public vs. private repository decision: Default to private. Make public only for materials intentionally released for transparency or press purposes.</w:t>
      </w:r>
    </w:p>
    <w:p>
      <w:pPr>
        <w:pStyle w:val="Heading3"/>
        <w:spacing w:after="120" w:before="280" w:line="360" w:lineRule="auto"/>
      </w:pPr>
      <w:r>
        <w:rPr>
          <w:rFonts w:ascii="Cambria" w:cs="Cambria" w:eastAsia="Cambria" w:hAnsi="Cambria"/>
          <w:color w:val="000000"/>
          <w:sz w:val="28"/>
          <w:szCs w:val="28"/>
        </w:rPr>
        <w:t xml:space="preserve">5.4 Version Control Decision Flowchart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AFAFA" w:color="auto" w:val="clear"/>
            <w:tcMar>
              <w:top w:type="dxa" w:w="180"/>
              <w:left w:type="dxa" w:w="240"/>
              <w:bottom w:type="dxa" w:w="180"/>
              <w:right w:type="dxa" w:w="240"/>
            </w:tcMar>
          </w:tcPr>
          <w:p>
            <w:pPr>
              <w:spacing w:after="120" w:line="408" w:lineRule="auto"/>
            </w:pPr>
            <w:r>
              <w:t xml:space="preserve">DOCUMENT CREATED OR MODIFIED
    │
    ├─ Is this a new draft or revision?
    │   └─ YES → Save with incremented version number (v1 → v2 → v3)
    │
    ├─ Is this document being filed with a court?
    │   └─ YES → Append -FILED suffix → FREEZE
    │            → Save filed copy to 03_Court_Filings/
    │            → Create ZIP Checkpoint (Tier 2)
    │            → Push to GitHub (Tier 3)
    │
    ├─ Is this document being sent to an audience?
    │   └─ YES → Append -SENT-[Recipient] suffix → FREEZE
    │            → Create ZIP Checkpoint (Tier 2)
    │            → Push to GitHub (Tier 3)
    │
    ├─ Is this a major milestone?
    │   (Evidence batch compiled, case phase completed,
    │    weekly maintenance cycle reached)
    │   └─ YES → Create ZIP Checkpoint (Tier 2)
    │            → Push to GitHub (Tier 3)
    │
    └─ Is this a routine working draft?
        └─ YES → File-level versioning only (Tier 1)
                  GitHub push at next milestone</w:t>
            </w:r>
          </w:p>
        </w:tc>
      </w:tr>
    </w:tbl>
    <w:p>
      <w:pPr>
        <w:spacing w:after="240" w:before="0"/>
      </w:pPr>
    </w:p>
    <w:p>
      <w:pPr>
        <w:pStyle w:val="Heading2"/>
        <w:spacing w:after="100" w:before="480" w:line="360" w:lineRule="auto"/>
      </w:pPr>
      <w:r>
        <w:rPr>
          <w:rFonts w:ascii="Cambria" w:cs="Cambria" w:eastAsia="Cambria" w:hAnsi="Cambria"/>
          <w:color w:val="000000"/>
          <w:sz w:val="36"/>
          <w:szCs w:val="36"/>
        </w:rPr>
        <w:t xml:space="preserve">SECTION 6. EVIDENCE INTAKE WORKFLOW</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Every piece of evidence entering this system follows a standardized intake protocol. No evidence is simply “saved somewhere.” Every item is renamed, filed to its correct location, and logged in the workbook with full metadata and cross-case tags.</w:t>
      </w:r>
    </w:p>
    <w:p>
      <w:pPr>
        <w:pStyle w:val="Heading3"/>
        <w:spacing w:after="120" w:before="280" w:line="360" w:lineRule="auto"/>
      </w:pPr>
      <w:r>
        <w:rPr>
          <w:rFonts w:ascii="Cambria" w:cs="Cambria" w:eastAsia="Cambria" w:hAnsi="Cambria"/>
          <w:color w:val="000000"/>
          <w:sz w:val="28"/>
          <w:szCs w:val="28"/>
        </w:rPr>
        <w:t xml:space="preserve">6.1 Photographs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Step</w:t>
            </w:r>
          </w:p>
        </w:tc>
        <w:tc>
          <w:tcPr>
            <w:tcW w:type="pct" w:w="8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Action</w:t>
            </w:r>
          </w:p>
        </w:tc>
      </w:tr>
      <w:tr>
        <w:trPr>
          <w:tblHeader w:val="false"/>
        </w:trPr>
        <w:tc>
          <w:tcPr>
            <w:tcW w:type="pct" w:w="16%"/>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1. Capture</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Take photograph with device. Ensure timestamp and location metadata is preserved in the image file.</w:t>
            </w:r>
          </w:p>
        </w:tc>
      </w:tr>
      <w:tr>
        <w:trPr>
          <w:tblHeader w:val="false"/>
        </w:trPr>
        <w:tc>
          <w:tcPr>
            <w:tcW w:type="pct" w:w="16%"/>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2. Rename</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Apply exhibit code naming: </w:t>
            </w:r>
            <w:r>
              <w:rPr>
                <w:rFonts w:ascii="Consolas" w:cs="Consolas" w:eastAsia="Consolas" w:hAnsi="Consolas"/>
                <w:b w:val="false"/>
                <w:bCs w:val="false"/>
                <w:i w:val="false"/>
                <w:iCs w:val="false"/>
                <w:strike w:val="false"/>
                <w:color w:val="000000"/>
                <w:sz w:val="20"/>
                <w:szCs w:val="20"/>
                <w:shd w:fill="F0F0F0" w:color="auto" w:val="clear"/>
              </w:rPr>
              <w:t xml:space="preserve">C01-EX-014-WaterDamageKitchen-20260210.jpg</w:t>
            </w:r>
          </w:p>
        </w:tc>
      </w:tr>
      <w:tr>
        <w:trPr>
          <w:tblHeader w:val="false"/>
        </w:trPr>
        <w:tc>
          <w:tcPr>
            <w:tcW w:type="pct" w:w="16%"/>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3. File</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Move to </w:t>
            </w:r>
            <w:r>
              <w:rPr>
                <w:rFonts w:ascii="Consolas" w:cs="Consolas" w:eastAsia="Consolas" w:hAnsi="Consolas"/>
                <w:b w:val="false"/>
                <w:bCs w:val="false"/>
                <w:i w:val="false"/>
                <w:iCs w:val="false"/>
                <w:strike w:val="false"/>
                <w:color w:val="000000"/>
                <w:sz w:val="20"/>
                <w:szCs w:val="20"/>
                <w:shd w:fill="F0F0F0" w:color="auto" w:val="clear"/>
              </w:rPr>
              <w:t xml:space="preserve">CASE_01_Eviction_Defense/02_Evidence/Photographs/</w:t>
            </w:r>
          </w:p>
        </w:tc>
      </w:tr>
      <w:tr>
        <w:trPr>
          <w:tblHeader w:val="false"/>
        </w:trPr>
        <w:tc>
          <w:tcPr>
            <w:tcW w:type="pct" w:w="16%"/>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4. Log in Workbook</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Record: Exhibit number, date taken, location (unit/room), description, relevance tags, case linkages (C01, C02 if applicable).</w:t>
            </w:r>
          </w:p>
        </w:tc>
      </w:tr>
      <w:tr>
        <w:trPr>
          <w:tblHeader w:val="false"/>
        </w:trPr>
        <w:tc>
          <w:tcPr>
            <w:tcW w:type="pct" w:w="16%"/>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5. Cross-Case Tag</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If the photograph is relevant to multiple cases, tag all applicable case codes in the workbook. If shared across cases, copy reference to </w:t>
            </w:r>
            <w:r>
              <w:rPr>
                <w:rFonts w:ascii="Consolas" w:cs="Consolas" w:eastAsia="Consolas" w:hAnsi="Consolas"/>
                <w:b w:val="false"/>
                <w:bCs w:val="false"/>
                <w:i w:val="false"/>
                <w:iCs w:val="false"/>
                <w:strike w:val="false"/>
                <w:color w:val="000000"/>
                <w:sz w:val="20"/>
                <w:szCs w:val="20"/>
                <w:shd w:fill="F0F0F0" w:color="auto" w:val="clear"/>
              </w:rPr>
              <w:t xml:space="preserve">_CROSS_CASE/Shared_Exhibits/</w:t>
            </w:r>
            <w:r>
              <w:rPr>
                <w:rFonts w:ascii="Cambria" w:cs="Cambria" w:eastAsia="Cambria" w:hAnsi="Cambria"/>
                <w:b w:val="false"/>
                <w:bCs w:val="false"/>
                <w:i w:val="false"/>
                <w:iCs w:val="false"/>
                <w:strike w:val="false"/>
                <w:color w:val="000000"/>
                <w:sz w:val="20"/>
                <w:szCs w:val="20"/>
              </w:rPr>
              <w:t xml:space="preserve">.</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6.2 Communications (Email / Text / Letter)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Step</w:t>
            </w:r>
          </w:p>
        </w:tc>
        <w:tc>
          <w:tcPr>
            <w:tcW w:type="pct" w:w="83%"/>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Action</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1. Capture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Screenshot, export to PDF, or save original file. For text messages, use scrolling screenshot or export tool. Preserve full conversation context.</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2. Rename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Apply naming: </w:t>
            </w:r>
            <w:r>
              <w:rPr>
                <w:rFonts w:ascii="Consolas" w:cs="Consolas" w:eastAsia="Consolas" w:hAnsi="Consolas"/>
                <w:b w:val="false"/>
                <w:bCs w:val="false"/>
                <w:i w:val="false"/>
                <w:iCs w:val="false"/>
                <w:strike w:val="false"/>
                <w:color w:val="000000"/>
                <w:sz w:val="20"/>
                <w:szCs w:val="20"/>
                <w:shd w:fill="F0F0F0" w:color="auto" w:val="clear"/>
              </w:rPr>
              <w:t xml:space="preserve">C01-COR-EmailFromMgmt-ReEntry-v1-20260318.pdf</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3. File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Move to </w:t>
            </w:r>
            <w:r>
              <w:rPr>
                <w:rFonts w:ascii="Consolas" w:cs="Consolas" w:eastAsia="Consolas" w:hAnsi="Consolas"/>
                <w:b w:val="false"/>
                <w:bCs w:val="false"/>
                <w:i w:val="false"/>
                <w:iCs w:val="false"/>
                <w:strike w:val="false"/>
                <w:color w:val="000000"/>
                <w:sz w:val="20"/>
                <w:szCs w:val="20"/>
                <w:shd w:fill="F0F0F0" w:color="auto" w:val="clear"/>
              </w:rPr>
              <w:t xml:space="preserve">CASE_XX/02_Evidence/Communications/</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4. Log in Workbook</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Record: Date of communication, sender, recipient, medium (email/text/letter), subject line or topic, key content summary (2–3 sentences), case linkages.</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5. Cross-Case Tag</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Communications often span multiple cases. Tag all applicable case codes. A management email about both rent and maintenance may link to C01, C02, and C03.</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6.3 Documents (Inspection Reports, Public Records, Financial Records)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Step</w:t>
            </w:r>
          </w:p>
        </w:tc>
        <w:tc>
          <w:tcPr>
            <w:tcW w:type="pct" w:w="81%"/>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Action</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1. Obtain</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Download, receive, or request the document. Note the source and date obtained.</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2. Rename</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Apply naming: </w:t>
            </w:r>
            <w:r>
              <w:rPr>
                <w:rFonts w:ascii="Consolas" w:cs="Consolas" w:eastAsia="Consolas" w:hAnsi="Consolas"/>
                <w:b w:val="false"/>
                <w:bCs w:val="false"/>
                <w:i w:val="false"/>
                <w:iCs w:val="false"/>
                <w:strike w:val="false"/>
                <w:color w:val="000000"/>
                <w:sz w:val="20"/>
                <w:szCs w:val="20"/>
                <w:shd w:fill="F0F0F0" w:color="auto" w:val="clear"/>
              </w:rPr>
              <w:t xml:space="preserve">C02-EX-007-CityInspectionReport-20260115.pdf</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3. File</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Move to the appropriate Evidence subfolder: </w:t>
            </w:r>
            <w:r>
              <w:rPr>
                <w:rFonts w:ascii="Consolas" w:cs="Consolas" w:eastAsia="Consolas" w:hAnsi="Consolas"/>
                <w:b w:val="false"/>
                <w:bCs w:val="false"/>
                <w:i w:val="false"/>
                <w:iCs w:val="false"/>
                <w:strike w:val="false"/>
                <w:color w:val="000000"/>
                <w:sz w:val="20"/>
                <w:szCs w:val="20"/>
                <w:shd w:fill="F0F0F0" w:color="auto" w:val="clear"/>
              </w:rPr>
              <w:t xml:space="preserve">Third_Party/</w:t>
            </w:r>
            <w:r>
              <w:rPr>
                <w:rFonts w:ascii="Cambria" w:cs="Cambria" w:eastAsia="Cambria" w:hAnsi="Cambria"/>
                <w:b w:val="false"/>
                <w:bCs w:val="false"/>
                <w:i w:val="false"/>
                <w:iCs w:val="false"/>
                <w:strike w:val="false"/>
                <w:color w:val="000000"/>
                <w:sz w:val="20"/>
                <w:szCs w:val="20"/>
              </w:rPr>
              <w:t xml:space="preserve">, </w:t>
            </w:r>
            <w:r>
              <w:rPr>
                <w:rFonts w:ascii="Consolas" w:cs="Consolas" w:eastAsia="Consolas" w:hAnsi="Consolas"/>
                <w:b w:val="false"/>
                <w:bCs w:val="false"/>
                <w:i w:val="false"/>
                <w:iCs w:val="false"/>
                <w:strike w:val="false"/>
                <w:color w:val="000000"/>
                <w:sz w:val="20"/>
                <w:szCs w:val="20"/>
                <w:shd w:fill="F0F0F0" w:color="auto" w:val="clear"/>
              </w:rPr>
              <w:t xml:space="preserve">Financial_Records/</w:t>
            </w:r>
            <w:r>
              <w:rPr>
                <w:rFonts w:ascii="Cambria" w:cs="Cambria" w:eastAsia="Cambria" w:hAnsi="Cambria"/>
                <w:b w:val="false"/>
                <w:bCs w:val="false"/>
                <w:i w:val="false"/>
                <w:iCs w:val="false"/>
                <w:strike w:val="false"/>
                <w:color w:val="000000"/>
                <w:sz w:val="20"/>
                <w:szCs w:val="20"/>
              </w:rPr>
              <w:t xml:space="preserve">, or </w:t>
            </w:r>
            <w:r>
              <w:rPr>
                <w:rFonts w:ascii="Consolas" w:cs="Consolas" w:eastAsia="Consolas" w:hAnsi="Consolas"/>
                <w:b w:val="false"/>
                <w:bCs w:val="false"/>
                <w:i w:val="false"/>
                <w:iCs w:val="false"/>
                <w:strike w:val="false"/>
                <w:color w:val="000000"/>
                <w:sz w:val="20"/>
                <w:szCs w:val="20"/>
                <w:shd w:fill="F0F0F0" w:color="auto" w:val="clear"/>
              </w:rPr>
              <w:t xml:space="preserve">Public_Records/</w:t>
            </w:r>
            <w:r>
              <w:rPr>
                <w:rFonts w:ascii="Cambria" w:cs="Cambria" w:eastAsia="Cambria" w:hAnsi="Cambria"/>
                <w:b w:val="false"/>
                <w:bCs w:val="false"/>
                <w:i w:val="false"/>
                <w:iCs w:val="false"/>
                <w:strike w:val="false"/>
                <w:color w:val="000000"/>
                <w:sz w:val="20"/>
                <w:szCs w:val="20"/>
              </w:rPr>
              <w:t xml:space="preserve"> depending on case structure.</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4. Log in Workbook</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Record: Source (agency/entity), date of document, date obtained, document type, relevance summary, case linkages.</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5. Cross-Case Tag</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Public records and inspection reports are frequently relevant to Cases 02 and 04 simultaneously. Tag both.</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6.4 Witness / Tenant Statements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Step</w:t>
            </w:r>
          </w:p>
        </w:tc>
        <w:tc>
          <w:tcPr>
            <w:tcW w:type="pct" w:w="83%"/>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Action</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1. Draft or Receive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Either draft a statement in collaboration with the tenant or receive a written statement from them. Ensure the tenant understands how the statement will be used.</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2. Rename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Apply naming: </w:t>
            </w:r>
            <w:r>
              <w:rPr>
                <w:rFonts w:ascii="Consolas" w:cs="Consolas" w:eastAsia="Consolas" w:hAnsi="Consolas"/>
                <w:b w:val="false"/>
                <w:bCs w:val="false"/>
                <w:i w:val="false"/>
                <w:iCs w:val="false"/>
                <w:strike w:val="false"/>
                <w:color w:val="000000"/>
                <w:sz w:val="20"/>
                <w:szCs w:val="20"/>
                <w:shd w:fill="F0F0F0" w:color="auto" w:val="clear"/>
              </w:rPr>
              <w:t xml:space="preserve">C05-TS-Apt212-MaintenanceFailure-v1-20260301.docx</w:t>
            </w:r>
            <w:r>
              <w:rPr>
                <w:rFonts w:ascii="Cambria" w:cs="Cambria" w:eastAsia="Cambria" w:hAnsi="Cambria"/>
                <w:b w:val="false"/>
                <w:bCs w:val="false"/>
                <w:i w:val="false"/>
                <w:iCs w:val="false"/>
                <w:strike w:val="false"/>
                <w:color w:val="000000"/>
                <w:sz w:val="20"/>
                <w:szCs w:val="20"/>
              </w:rPr>
              <w:t xml:space="preserve">. For anonymous witnesses: </w:t>
            </w:r>
            <w:r>
              <w:rPr>
                <w:rFonts w:ascii="Consolas" w:cs="Consolas" w:eastAsia="Consolas" w:hAnsi="Consolas"/>
                <w:b w:val="false"/>
                <w:bCs w:val="false"/>
                <w:i w:val="false"/>
                <w:iCs w:val="false"/>
                <w:strike w:val="false"/>
                <w:color w:val="000000"/>
                <w:sz w:val="20"/>
                <w:szCs w:val="20"/>
                <w:shd w:fill="F0F0F0" w:color="auto" w:val="clear"/>
              </w:rPr>
              <w:t xml:space="preserve">C05-TS-WitnessA-NoiseComplaint-v1-20260305.docx</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3. File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Move to </w:t>
            </w:r>
            <w:r>
              <w:rPr>
                <w:rFonts w:ascii="Consolas" w:cs="Consolas" w:eastAsia="Consolas" w:hAnsi="Consolas"/>
                <w:b w:val="false"/>
                <w:bCs w:val="false"/>
                <w:i w:val="false"/>
                <w:iCs w:val="false"/>
                <w:strike w:val="false"/>
                <w:color w:val="000000"/>
                <w:sz w:val="20"/>
                <w:szCs w:val="20"/>
                <w:shd w:fill="F0F0F0" w:color="auto" w:val="clear"/>
              </w:rPr>
              <w:t xml:space="preserve">CASE_05_Collective_Action/01_Tenant_Statements/</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4. Log in Workbook</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Record: Witness name or anonymous code, date of statement, topics covered, consent status (full name / anonymous / limited use), cases linked.</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5. Privacy Flag</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Mark each statement with a privacy level: </w:t>
            </w:r>
            <w:r>
              <w:rPr>
                <w:rFonts w:ascii="Cambria" w:cs="Cambria" w:eastAsia="Cambria" w:hAnsi="Cambria"/>
                <w:b/>
                <w:bCs/>
                <w:i w:val="false"/>
                <w:iCs w:val="false"/>
                <w:strike w:val="false"/>
                <w:color w:val="000000"/>
                <w:sz w:val="22"/>
                <w:szCs w:val="22"/>
              </w:rPr>
              <w:t xml:space="preserve">PUBLIC</w:t>
            </w:r>
            <w:r>
              <w:rPr>
                <w:rFonts w:ascii="Cambria" w:cs="Cambria" w:eastAsia="Cambria" w:hAnsi="Cambria"/>
                <w:b w:val="false"/>
                <w:bCs w:val="false"/>
                <w:i w:val="false"/>
                <w:iCs w:val="false"/>
                <w:strike w:val="false"/>
                <w:color w:val="000000"/>
                <w:sz w:val="20"/>
                <w:szCs w:val="20"/>
              </w:rPr>
              <w:t xml:space="preserve"> (name can be used), </w:t>
            </w:r>
            <w:r>
              <w:rPr>
                <w:rFonts w:ascii="Cambria" w:cs="Cambria" w:eastAsia="Cambria" w:hAnsi="Cambria"/>
                <w:b/>
                <w:bCs/>
                <w:i w:val="false"/>
                <w:iCs w:val="false"/>
                <w:strike w:val="false"/>
                <w:color w:val="000000"/>
                <w:sz w:val="22"/>
                <w:szCs w:val="22"/>
              </w:rPr>
              <w:t xml:space="preserve">ANONYMOUS</w:t>
            </w:r>
            <w:r>
              <w:rPr>
                <w:rFonts w:ascii="Cambria" w:cs="Cambria" w:eastAsia="Cambria" w:hAnsi="Cambria"/>
                <w:b w:val="false"/>
                <w:bCs w:val="false"/>
                <w:i w:val="false"/>
                <w:iCs w:val="false"/>
                <w:strike w:val="false"/>
                <w:color w:val="000000"/>
                <w:sz w:val="20"/>
                <w:szCs w:val="20"/>
              </w:rPr>
              <w:t xml:space="preserve"> (code name only), or </w:t>
            </w:r>
            <w:r>
              <w:rPr>
                <w:rFonts w:ascii="Cambria" w:cs="Cambria" w:eastAsia="Cambria" w:hAnsi="Cambria"/>
                <w:b/>
                <w:bCs/>
                <w:i w:val="false"/>
                <w:iCs w:val="false"/>
                <w:strike w:val="false"/>
                <w:color w:val="000000"/>
                <w:sz w:val="22"/>
                <w:szCs w:val="22"/>
              </w:rPr>
              <w:t xml:space="preserve">RESTRICTED</w:t>
            </w:r>
            <w:r>
              <w:rPr>
                <w:rFonts w:ascii="Cambria" w:cs="Cambria" w:eastAsia="Cambria" w:hAnsi="Cambria"/>
                <w:b w:val="false"/>
                <w:bCs w:val="false"/>
                <w:i w:val="false"/>
                <w:iCs w:val="false"/>
                <w:strike w:val="false"/>
                <w:color w:val="000000"/>
                <w:sz w:val="20"/>
                <w:szCs w:val="20"/>
              </w:rPr>
              <w:t xml:space="preserve"> (attorney eyes only).</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6.5 Third-Party Records (FOIA / Data Practices Responses)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Step</w:t>
            </w:r>
          </w:p>
        </w:tc>
        <w:tc>
          <w:tcPr>
            <w:tcW w:type="pct" w:w="83%"/>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Action</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1. Receive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Download or receive the responsive documents from the agency.</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2. Rename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Apply naming: </w:t>
            </w:r>
            <w:r>
              <w:rPr>
                <w:rFonts w:ascii="Consolas" w:cs="Consolas" w:eastAsia="Consolas" w:hAnsi="Consolas"/>
                <w:b w:val="false"/>
                <w:bCs w:val="false"/>
                <w:i w:val="false"/>
                <w:iCs w:val="false"/>
                <w:strike w:val="false"/>
                <w:color w:val="000000"/>
                <w:sz w:val="20"/>
                <w:szCs w:val="20"/>
                <w:shd w:fill="F0F0F0" w:color="auto" w:val="clear"/>
              </w:rPr>
              <w:t xml:space="preserve">C04-FOIA-HUD-ResponseBatch1-20260320.pdf</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3. File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Move to </w:t>
            </w:r>
            <w:r>
              <w:rPr>
                <w:rFonts w:ascii="Consolas" w:cs="Consolas" w:eastAsia="Consolas" w:hAnsi="Consolas"/>
                <w:b w:val="false"/>
                <w:bCs w:val="false"/>
                <w:i w:val="false"/>
                <w:iCs w:val="false"/>
                <w:strike w:val="false"/>
                <w:color w:val="000000"/>
                <w:sz w:val="20"/>
                <w:szCs w:val="20"/>
                <w:shd w:fill="F0F0F0" w:color="auto" w:val="clear"/>
              </w:rPr>
              <w:t xml:space="preserve">CASE_04/04_Supporting_Evidence/</w:t>
            </w:r>
            <w:r>
              <w:rPr>
                <w:rFonts w:ascii="Cambria" w:cs="Cambria" w:eastAsia="Cambria" w:hAnsi="Cambria"/>
                <w:b w:val="false"/>
                <w:bCs w:val="false"/>
                <w:i w:val="false"/>
                <w:iCs w:val="false"/>
                <w:strike w:val="false"/>
                <w:color w:val="000000"/>
                <w:sz w:val="20"/>
                <w:szCs w:val="20"/>
              </w:rPr>
              <w:t xml:space="preserve"> or </w:t>
            </w:r>
            <w:r>
              <w:rPr>
                <w:rFonts w:ascii="Consolas" w:cs="Consolas" w:eastAsia="Consolas" w:hAnsi="Consolas"/>
                <w:b w:val="false"/>
                <w:bCs w:val="false"/>
                <w:i w:val="false"/>
                <w:iCs w:val="false"/>
                <w:strike w:val="false"/>
                <w:color w:val="000000"/>
                <w:sz w:val="20"/>
                <w:szCs w:val="20"/>
                <w:shd w:fill="F0F0F0" w:color="auto" w:val="clear"/>
              </w:rPr>
              <w:t xml:space="preserve">CASE_02/05_FOIA_DataPractices/</w:t>
            </w:r>
            <w:r>
              <w:rPr>
                <w:rFonts w:ascii="Cambria" w:cs="Cambria" w:eastAsia="Cambria" w:hAnsi="Cambria"/>
                <w:b w:val="false"/>
                <w:bCs w:val="false"/>
                <w:i w:val="false"/>
                <w:iCs w:val="false"/>
                <w:strike w:val="false"/>
                <w:color w:val="000000"/>
                <w:sz w:val="20"/>
                <w:szCs w:val="20"/>
              </w:rPr>
              <w:t xml:space="preserve"> depending on the requesting case.</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4. Log in Workbook</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Record: Date requested, date received, requesting agency, request reference number, content summary, responsive/partial/denied status, cases linked.</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5. Cross-Case Tag</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FOIA responses almost always serve multiple cases. Tag liberally.</w:t>
            </w:r>
          </w:p>
        </w:tc>
      </w:tr>
    </w:tbl>
    <w:p>
      <w:pPr>
        <w:spacing w:after="200" w:before="0"/>
      </w:pPr>
    </w:p>
    <w:p>
      <w:pPr>
        <w:pStyle w:val="Heading2"/>
        <w:spacing w:after="100" w:before="480" w:line="360" w:lineRule="auto"/>
      </w:pPr>
      <w:r>
        <w:rPr>
          <w:rFonts w:ascii="Cambria" w:cs="Cambria" w:eastAsia="Cambria" w:hAnsi="Cambria"/>
          <w:color w:val="000000"/>
          <w:sz w:val="36"/>
          <w:szCs w:val="36"/>
        </w:rPr>
        <w:t xml:space="preserve">SECTION 7. EXPORT PROTOCOLS</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Export is the final mile. Every document produced by this system must ultimately reach its intended audience in a format they can use. This section defines the assembly, formatting, and delivery protocols for each audience type.</w:t>
      </w:r>
    </w:p>
    <w:p>
      <w:pPr>
        <w:pStyle w:val="Heading3"/>
        <w:spacing w:after="120" w:before="280" w:line="360" w:lineRule="auto"/>
      </w:pPr>
      <w:r>
        <w:rPr>
          <w:rFonts w:ascii="Cambria" w:cs="Cambria" w:eastAsia="Cambria" w:hAnsi="Cambria"/>
          <w:color w:val="000000"/>
          <w:sz w:val="28"/>
          <w:szCs w:val="28"/>
        </w:rPr>
        <w:t xml:space="preserve">7A. Court Filings (eFileMN)</w:t>
      </w:r>
    </w:p>
    <w:p>
      <w:pPr>
        <w:pStyle w:val="Heading4"/>
        <w:spacing w:after="80" w:before="200" w:line="360" w:lineRule="auto"/>
      </w:pPr>
      <w:r>
        <w:rPr>
          <w:rFonts w:ascii="Cambria" w:cs="Cambria" w:eastAsia="Cambria" w:hAnsi="Cambria"/>
          <w:color w:val="000000"/>
          <w:sz w:val="24"/>
          <w:szCs w:val="24"/>
        </w:rPr>
        <w:t xml:space="preserve">Format Requirements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PDF format only — no Word documents, no image files as standalone filings.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Standard page size (8.5″ × 11″).</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No security restrictions, password protection, or digital rights management on the PDF.</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Text must be searchable (not image-only scans).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Maximum file size per eFileMN upload: verify current limits before each filing.</w:t>
      </w:r>
    </w:p>
    <w:p>
      <w:pPr>
        <w:pStyle w:val="Heading4"/>
        <w:spacing w:after="80" w:before="200" w:line="360" w:lineRule="auto"/>
      </w:pPr>
      <w:r>
        <w:rPr>
          <w:rFonts w:ascii="Cambria" w:cs="Cambria" w:eastAsia="Cambria" w:hAnsi="Cambria"/>
          <w:color w:val="000000"/>
          <w:sz w:val="24"/>
          <w:szCs w:val="24"/>
        </w:rPr>
        <w:t xml:space="preserve">Assembly Checklist</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Cover page (case caption, document title, party information)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Motion or pleading (the substantive legal document)</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Exhibits — sequentially numbered, each with a cover sheet identifying the exhibit number and description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Proposed order (if applicable)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Certificate of service</w:t>
      </w:r>
    </w:p>
    <w:p>
      <w:pPr>
        <w:pStyle w:val="Heading4"/>
        <w:spacing w:after="80" w:before="200" w:line="360" w:lineRule="auto"/>
      </w:pPr>
      <w:r>
        <w:rPr>
          <w:rFonts w:ascii="Cambria" w:cs="Cambria" w:eastAsia="Cambria" w:hAnsi="Cambria"/>
          <w:color w:val="000000"/>
          <w:sz w:val="24"/>
          <w:szCs w:val="24"/>
        </w:rPr>
        <w:t xml:space="preserve">Post-Filing Protocol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Save the file-stamped copy to </w:t>
      </w:r>
      <w:r>
        <w:rPr>
          <w:rFonts w:ascii="Consolas" w:cs="Consolas" w:eastAsia="Consolas" w:hAnsi="Consolas"/>
          <w:b w:val="false"/>
          <w:bCs w:val="false"/>
          <w:i w:val="false"/>
          <w:iCs w:val="false"/>
          <w:strike w:val="false"/>
          <w:color w:val="000000"/>
          <w:sz w:val="20"/>
          <w:szCs w:val="20"/>
          <w:shd w:fill="F0F0F0" w:color="auto" w:val="clear"/>
        </w:rPr>
        <w:t xml:space="preserve">03_Court_Filings/</w:t>
      </w:r>
      <w:r>
        <w:rPr>
          <w:rFonts w:ascii="Cambria" w:cs="Cambria" w:eastAsia="Cambria" w:hAnsi="Cambria"/>
          <w:b w:val="false"/>
          <w:bCs w:val="false"/>
          <w:i w:val="false"/>
          <w:iCs w:val="false"/>
          <w:strike w:val="false"/>
          <w:color w:val="000000"/>
          <w:sz w:val="22"/>
          <w:szCs w:val="22"/>
        </w:rPr>
        <w:t xml:space="preserve"> with the </w:t>
      </w:r>
      <w:r>
        <w:rPr>
          <w:rFonts w:ascii="Consolas" w:cs="Consolas" w:eastAsia="Consolas" w:hAnsi="Consolas"/>
          <w:b w:val="false"/>
          <w:bCs w:val="false"/>
          <w:i w:val="false"/>
          <w:iCs w:val="false"/>
          <w:strike w:val="false"/>
          <w:color w:val="000000"/>
          <w:sz w:val="20"/>
          <w:szCs w:val="20"/>
          <w:shd w:fill="F0F0F0" w:color="auto" w:val="clear"/>
        </w:rPr>
        <w:t xml:space="preserve">-FILED</w:t>
      </w:r>
      <w:r>
        <w:rPr>
          <w:rFonts w:ascii="Cambria" w:cs="Cambria" w:eastAsia="Cambria" w:hAnsi="Cambria"/>
          <w:b w:val="false"/>
          <w:bCs w:val="false"/>
          <w:i w:val="false"/>
          <w:iCs w:val="false"/>
          <w:strike w:val="false"/>
          <w:color w:val="000000"/>
          <w:sz w:val="22"/>
          <w:szCs w:val="22"/>
        </w:rPr>
        <w:t xml:space="preserve"> suffix.</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Update the workbook: filing date, confirmation number, document description, next deadline.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Create a ZIP checkpoint.</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Push to GitHub with commit message: </w:t>
      </w:r>
      <w:r>
        <w:rPr>
          <w:rFonts w:ascii="Consolas" w:cs="Consolas" w:eastAsia="Consolas" w:hAnsi="Consolas"/>
          <w:b w:val="false"/>
          <w:bCs w:val="false"/>
          <w:i w:val="false"/>
          <w:iCs w:val="false"/>
          <w:strike w:val="false"/>
          <w:color w:val="000000"/>
          <w:sz w:val="20"/>
          <w:szCs w:val="20"/>
          <w:shd w:fill="F0F0F0" w:color="auto" w:val="clear"/>
        </w:rPr>
        <w:t xml:space="preserve">[C01] FILED [Document description]</w:t>
      </w:r>
      <w:r>
        <w:rPr>
          <w:rFonts w:ascii="Cambria" w:cs="Cambria" w:eastAsia="Cambria" w:hAnsi="Cambria"/>
          <w:b w:val="false"/>
          <w:bCs w:val="false"/>
          <w:i w:val="false"/>
          <w:iCs w:val="false"/>
          <w:strike w:val="false"/>
          <w:color w:val="000000"/>
          <w:sz w:val="22"/>
          <w:szCs w:val="22"/>
        </w:rPr>
        <w:t xml:space="preserve">.</w:t>
      </w:r>
    </w:p>
    <w:p>
      <w:pPr>
        <w:pStyle w:val="Heading3"/>
        <w:spacing w:after="120" w:before="280" w:line="360" w:lineRule="auto"/>
      </w:pPr>
      <w:r>
        <w:rPr>
          <w:rFonts w:ascii="Cambria" w:cs="Cambria" w:eastAsia="Cambria" w:hAnsi="Cambria"/>
          <w:color w:val="000000"/>
          <w:sz w:val="28"/>
          <w:szCs w:val="28"/>
        </w:rPr>
        <w:t xml:space="preserve">7B. Agency Submissions (HUD, MN Housing, AG)</w:t>
      </w:r>
    </w:p>
    <w:p>
      <w:pPr>
        <w:pStyle w:val="Heading4"/>
        <w:spacing w:after="80" w:before="200" w:line="360" w:lineRule="auto"/>
      </w:pPr>
      <w:r>
        <w:rPr>
          <w:rFonts w:ascii="Cambria" w:cs="Cambria" w:eastAsia="Cambria" w:hAnsi="Cambria"/>
          <w:color w:val="000000"/>
          <w:sz w:val="24"/>
          <w:szCs w:val="24"/>
        </w:rPr>
        <w:t xml:space="preserve">Assembly Protocol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Cover letter addressed to the specific agency contact or intake office.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Complaint form (agency-specific — HUD Form 903, AG online complaint, MHFA inquiry form).</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Statement of facts — narrative tailored to the agency’s jurisdiction and enforcement authority.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Evidence summary — index of attached exhibits with brief descriptions.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Exhibits — sequentially numbered, supporting the statement of facts.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Timeline — chronological summary of relevant events.</w:t>
      </w:r>
    </w:p>
    <w:p>
      <w:pPr>
        <w:pStyle w:val="Heading4"/>
        <w:spacing w:after="80" w:before="200" w:line="360" w:lineRule="auto"/>
      </w:pPr>
      <w:r>
        <w:rPr>
          <w:rFonts w:ascii="Cambria" w:cs="Cambria" w:eastAsia="Cambria" w:hAnsi="Cambria"/>
          <w:color w:val="000000"/>
          <w:sz w:val="24"/>
          <w:szCs w:val="24"/>
        </w:rPr>
        <w:t xml:space="preserve">Tracking Requirements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Each agency submission gets a tailored version stored in </w:t>
      </w:r>
      <w:r>
        <w:rPr>
          <w:rFonts w:ascii="Consolas" w:cs="Consolas" w:eastAsia="Consolas" w:hAnsi="Consolas"/>
          <w:b w:val="false"/>
          <w:bCs w:val="false"/>
          <w:i w:val="false"/>
          <w:iCs w:val="false"/>
          <w:strike w:val="false"/>
          <w:color w:val="000000"/>
          <w:sz w:val="20"/>
          <w:szCs w:val="20"/>
          <w:shd w:fill="F0F0F0" w:color="auto" w:val="clear"/>
        </w:rPr>
        <w:t xml:space="preserve">03_Narrative_Packets/Agency_Versions/</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Track in workbook: submission date, confirmation number or receipt, agency contact name, expected response timeline, follow-up dates.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Apply </w:t>
      </w:r>
      <w:r>
        <w:rPr>
          <w:rFonts w:ascii="Consolas" w:cs="Consolas" w:eastAsia="Consolas" w:hAnsi="Consolas"/>
          <w:b w:val="false"/>
          <w:bCs w:val="false"/>
          <w:i w:val="false"/>
          <w:iCs w:val="false"/>
          <w:strike w:val="false"/>
          <w:color w:val="000000"/>
          <w:sz w:val="20"/>
          <w:szCs w:val="20"/>
          <w:shd w:fill="F0F0F0" w:color="auto" w:val="clear"/>
        </w:rPr>
        <w:t xml:space="preserve">-SENT-[Agency]</w:t>
      </w:r>
      <w:r>
        <w:rPr>
          <w:rFonts w:ascii="Cambria" w:cs="Cambria" w:eastAsia="Cambria" w:hAnsi="Cambria"/>
          <w:b w:val="false"/>
          <w:bCs w:val="false"/>
          <w:i w:val="false"/>
          <w:iCs w:val="false"/>
          <w:strike w:val="false"/>
          <w:color w:val="000000"/>
          <w:sz w:val="22"/>
          <w:szCs w:val="22"/>
        </w:rPr>
        <w:t xml:space="preserve"> suffix to freeze the submitted version.</w:t>
      </w:r>
    </w:p>
    <w:p>
      <w:pPr>
        <w:pStyle w:val="Heading3"/>
        <w:spacing w:after="120" w:before="280" w:line="360" w:lineRule="auto"/>
      </w:pPr>
      <w:r>
        <w:rPr>
          <w:rFonts w:ascii="Cambria" w:cs="Cambria" w:eastAsia="Cambria" w:hAnsi="Cambria"/>
          <w:color w:val="000000"/>
          <w:sz w:val="28"/>
          <w:szCs w:val="28"/>
        </w:rPr>
        <w:t xml:space="preserve">7C. Press / Media Packets</w:t>
      </w:r>
    </w:p>
    <w:p>
      <w:pPr>
        <w:pStyle w:val="Heading4"/>
        <w:spacing w:after="80" w:before="200" w:line="360" w:lineRule="auto"/>
      </w:pPr>
      <w:r>
        <w:rPr>
          <w:rFonts w:ascii="Cambria" w:cs="Cambria" w:eastAsia="Cambria" w:hAnsi="Cambria"/>
          <w:color w:val="000000"/>
          <w:sz w:val="24"/>
          <w:szCs w:val="24"/>
        </w:rPr>
        <w:t xml:space="preserve">Assembly Protocol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Press release (1–2 pages maximum): headline, summary, key facts, quotes, contact information.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Fact sheet: bullet-point summary of the situation, key numbers, timeline highlights.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Key evidence highlights: selected exhibits, redacted as necessary for privacy.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Timeline: simplified, public-facing chronology.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Contact information for media inquiries.</w:t>
      </w:r>
    </w:p>
    <w:p>
      <w:pPr>
        <w:pStyle w:val="Heading4"/>
        <w:spacing w:after="80" w:before="200" w:line="360" w:lineRule="auto"/>
      </w:pPr>
      <w:r>
        <w:rPr>
          <w:rFonts w:ascii="Cambria" w:cs="Cambria" w:eastAsia="Cambria" w:hAnsi="Cambria"/>
          <w:color w:val="000000"/>
          <w:sz w:val="24"/>
          <w:szCs w:val="24"/>
        </w:rPr>
        <w:t xml:space="preserve">Privacy Review Checklist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Item</w:t>
            </w:r>
          </w:p>
        </w:tc>
        <w:tc>
          <w:tcPr>
            <w:tcW w:type="pct" w:w="19%"/>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Default</w:t>
            </w:r>
          </w:p>
        </w:tc>
        <w:tc>
          <w:tcPr>
            <w:tcW w:type="pct" w:w="46%"/>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Override Condition</w:t>
            </w:r>
          </w:p>
        </w:tc>
      </w:tr>
      <w:tr>
        <w:trPr>
          <w:tblHeader w:val="false"/>
        </w:trPr>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Tenant names</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REDACT</w:t>
            </w:r>
          </w:p>
        </w:tc>
        <w:tc>
          <w:tcPr>
            <w:tcW w:type="pct" w:w="4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Written consent from tenant on file</w:t>
            </w:r>
          </w:p>
        </w:tc>
      </w:tr>
      <w:tr>
        <w:trPr>
          <w:tblHeader w:val="false"/>
        </w:trPr>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Unit numbers</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REDACT</w:t>
            </w:r>
          </w:p>
        </w:tc>
        <w:tc>
          <w:tcPr>
            <w:tcW w:type="pct" w:w="4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Written consent from tenant on file</w:t>
            </w:r>
          </w:p>
        </w:tc>
      </w:tr>
      <w:tr>
        <w:trPr>
          <w:tblHeader w:val="false"/>
        </w:trPr>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Minor (child) information</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ALWAYS REDACT</w:t>
            </w:r>
          </w:p>
        </w:tc>
        <w:tc>
          <w:tcPr>
            <w:tcW w:type="pct" w:w="4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No override permitted</w:t>
            </w:r>
          </w:p>
        </w:tc>
      </w:tr>
      <w:tr>
        <w:trPr>
          <w:tblHeader w:val="false"/>
        </w:trPr>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Management/staff names</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INCLUDE</w:t>
            </w:r>
          </w:p>
        </w:tc>
        <w:tc>
          <w:tcPr>
            <w:tcW w:type="pct" w:w="4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Acting in official capacity — public interest</w:t>
            </w:r>
          </w:p>
        </w:tc>
      </w:tr>
      <w:tr>
        <w:trPr>
          <w:tblHeader w:val="false"/>
        </w:trPr>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Financial figures (public funds)</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INCLUDE</w:t>
            </w:r>
          </w:p>
        </w:tc>
        <w:tc>
          <w:tcPr>
            <w:tcW w:type="pct" w:w="4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Public record / public interest</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7D. Attorney Packets</w:t>
      </w:r>
    </w:p>
    <w:p>
      <w:pPr>
        <w:pStyle w:val="Heading4"/>
        <w:spacing w:after="80" w:before="200" w:line="360" w:lineRule="auto"/>
      </w:pPr>
      <w:r>
        <w:rPr>
          <w:rFonts w:ascii="Cambria" w:cs="Cambria" w:eastAsia="Cambria" w:hAnsi="Cambria"/>
          <w:color w:val="000000"/>
          <w:sz w:val="24"/>
          <w:szCs w:val="24"/>
        </w:rPr>
        <w:t xml:space="preserve">Assembly Protocol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Case summary memo: 2–5 page overview of the case, legal theories, current posture, and recommended next steps.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Full timeline: comprehensive chronology with citations to exhibits.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Complete exhibit list with descriptions and relevance notes.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Key documents highlighted (flagged as “priority review”).</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Statutory framework: relevant Minnesota statutes, federal regulations, and applicable case law.</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Procedural history: all filings, orders, and deadlines to date.</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Store in </w:t>
      </w:r>
      <w:r>
        <w:rPr>
          <w:rFonts w:ascii="Consolas" w:cs="Consolas" w:eastAsia="Consolas" w:hAnsi="Consolas"/>
          <w:b w:val="false"/>
          <w:bCs w:val="false"/>
          <w:i w:val="false"/>
          <w:iCs w:val="false"/>
          <w:strike w:val="false"/>
          <w:color w:val="000000"/>
          <w:sz w:val="20"/>
          <w:szCs w:val="20"/>
          <w:shd w:fill="F0F0F0" w:color="auto" w:val="clear"/>
        </w:rPr>
        <w:t xml:space="preserve">03_Narrative_Packets/Attorney_Versions/</w:t>
      </w:r>
      <w:r>
        <w:rPr>
          <w:rFonts w:ascii="Cambria" w:cs="Cambria" w:eastAsia="Cambria" w:hAnsi="Cambria"/>
          <w:b w:val="false"/>
          <w:bCs w:val="false"/>
          <w:i w:val="false"/>
          <w:iCs w:val="false"/>
          <w:strike w:val="false"/>
          <w:color w:val="000000"/>
          <w:sz w:val="22"/>
          <w:szCs w:val="22"/>
        </w:rPr>
        <w:t xml:space="preserve">. The attorney packet must be self-contained — an attorney receiving it should be able to understand the full case without asking questions.</w:t>
      </w:r>
    </w:p>
    <w:p>
      <w:pPr>
        <w:pStyle w:val="Heading3"/>
        <w:spacing w:after="120" w:before="280" w:line="360" w:lineRule="auto"/>
      </w:pPr>
      <w:r>
        <w:rPr>
          <w:rFonts w:ascii="Cambria" w:cs="Cambria" w:eastAsia="Cambria" w:hAnsi="Cambria"/>
          <w:color w:val="000000"/>
          <w:sz w:val="28"/>
          <w:szCs w:val="28"/>
        </w:rPr>
        <w:t xml:space="preserve">7E. Bulk ZIP Export</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For any audience, a self-contained ZIP bundle may be created for delivery: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Component</w:t>
            </w:r>
          </w:p>
        </w:tc>
        <w:tc>
          <w:tcPr>
            <w:tcW w:type="pct" w:w="8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Description</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README.txt</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Plain-text file describing the contents of the bundle, the case(s) covered, the intended audience, the date of assembly, and contact information.</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All documents</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Every document relevant to the export, organized in subfolders mirroring the case folder structure.</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Exhibit index</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Spreadsheet or PDF listing all exhibits with numbers, descriptions, dates, and page references.</w:t>
            </w:r>
          </w:p>
        </w:tc>
      </w:tr>
    </w:tbl>
    <w:p>
      <w:pPr>
        <w:spacing w:after="200" w:before="0"/>
      </w:pPr>
    </w:p>
    <w:p>
      <w:pPr>
        <w:spacing w:after="120" w:before="60" w:line="360" w:lineRule="auto"/>
      </w:pPr>
      <w:r>
        <w:rPr>
          <w:rFonts w:ascii="Cambria" w:cs="Cambria" w:eastAsia="Cambria" w:hAnsi="Cambria"/>
          <w:b/>
          <w:bCs/>
          <w:i w:val="false"/>
          <w:iCs w:val="false"/>
          <w:strike w:val="false"/>
          <w:color w:val="000000"/>
          <w:sz w:val="22"/>
          <w:szCs w:val="22"/>
        </w:rPr>
        <w:t xml:space="preserve">Naming:</w:t>
      </w:r>
      <w:r>
        <w:rPr>
          <w:rFonts w:ascii="Cambria" w:cs="Cambria" w:eastAsia="Cambria" w:hAnsi="Cambria"/>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0F0" w:color="auto" w:val="clear"/>
        </w:rPr>
        <w:t xml:space="preserve">Export_[Audience]_[CaseCode]_[YYYYMMDD].zip</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Examples: </w:t>
      </w:r>
      <w:r>
        <w:rPr>
          <w:rFonts w:ascii="Consolas" w:cs="Consolas" w:eastAsia="Consolas" w:hAnsi="Consolas"/>
          <w:b w:val="false"/>
          <w:bCs w:val="false"/>
          <w:i w:val="false"/>
          <w:iCs w:val="false"/>
          <w:strike w:val="false"/>
          <w:color w:val="000000"/>
          <w:sz w:val="20"/>
          <w:szCs w:val="20"/>
          <w:shd w:fill="F0F0F0" w:color="auto" w:val="clear"/>
        </w:rPr>
        <w:t xml:space="preserve">Export_HUD_C04_20260401.zip</w:t>
      </w:r>
      <w:r>
        <w:rPr>
          <w:rFonts w:ascii="Cambria" w:cs="Cambria" w:eastAsia="Cambria" w:hAnsi="Cambria"/>
          <w:b w:val="false"/>
          <w:bCs w:val="false"/>
          <w:i w:val="false"/>
          <w:iCs w:val="false"/>
          <w:strike w:val="false"/>
          <w:color w:val="000000"/>
          <w:sz w:val="22"/>
          <w:szCs w:val="22"/>
        </w:rPr>
        <w:t xml:space="preserve">  •  </w:t>
      </w:r>
      <w:r>
        <w:rPr>
          <w:rFonts w:ascii="Consolas" w:cs="Consolas" w:eastAsia="Consolas" w:hAnsi="Consolas"/>
          <w:b w:val="false"/>
          <w:bCs w:val="false"/>
          <w:i w:val="false"/>
          <w:iCs w:val="false"/>
          <w:strike w:val="false"/>
          <w:color w:val="000000"/>
          <w:sz w:val="20"/>
          <w:szCs w:val="20"/>
          <w:shd w:fill="F0F0F0" w:color="auto" w:val="clear"/>
        </w:rPr>
        <w:t xml:space="preserve">Export_Attorney_C01_20260328.zip</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Store all export bundles in </w:t>
      </w:r>
      <w:r>
        <w:rPr>
          <w:rFonts w:ascii="Consolas" w:cs="Consolas" w:eastAsia="Consolas" w:hAnsi="Consolas"/>
          <w:b w:val="false"/>
          <w:bCs w:val="false"/>
          <w:i w:val="false"/>
          <w:iCs w:val="false"/>
          <w:strike w:val="false"/>
          <w:color w:val="000000"/>
          <w:sz w:val="20"/>
          <w:szCs w:val="20"/>
          <w:shd w:fill="F0F0F0" w:color="auto" w:val="clear"/>
        </w:rPr>
        <w:t xml:space="preserve">_CROSS_CASE/Export_Bundles/</w:t>
      </w:r>
      <w:r>
        <w:rPr>
          <w:rFonts w:ascii="Cambria" w:cs="Cambria" w:eastAsia="Cambria" w:hAnsi="Cambria"/>
          <w:b w:val="false"/>
          <w:bCs w:val="false"/>
          <w:i w:val="false"/>
          <w:iCs w:val="false"/>
          <w:strike w:val="false"/>
          <w:color w:val="000000"/>
          <w:sz w:val="22"/>
          <w:szCs w:val="22"/>
        </w:rPr>
        <w:t xml:space="preserve">.</w:t>
      </w:r>
    </w:p>
    <w:p>
      <w:pPr>
        <w:pStyle w:val="Heading2"/>
        <w:spacing w:after="100" w:before="480" w:line="360" w:lineRule="auto"/>
      </w:pPr>
      <w:r>
        <w:rPr>
          <w:rFonts w:ascii="Cambria" w:cs="Cambria" w:eastAsia="Cambria" w:hAnsi="Cambria"/>
          <w:color w:val="000000"/>
          <w:sz w:val="36"/>
          <w:szCs w:val="36"/>
        </w:rPr>
        <w:t xml:space="preserve">SECTION 8. CROSS-CASE OPERATIONS</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five active cases are not isolated. They share evidence, timelines, and patterns. Cross-case operations are what transform five individual matters into a coherent demonstration of systemic behavior. This section governs how those connections are maintained.</w:t>
      </w:r>
    </w:p>
    <w:p>
      <w:pPr>
        <w:pStyle w:val="Heading3"/>
        <w:spacing w:after="120" w:before="280" w:line="360" w:lineRule="auto"/>
      </w:pPr>
      <w:r>
        <w:rPr>
          <w:rFonts w:ascii="Cambria" w:cs="Cambria" w:eastAsia="Cambria" w:hAnsi="Cambria"/>
          <w:color w:val="000000"/>
          <w:sz w:val="28"/>
          <w:szCs w:val="28"/>
        </w:rPr>
        <w:t xml:space="preserve">8.1 Master Timeline</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A single, unified timeline spanning all five cases is maintained in </w:t>
      </w:r>
      <w:r>
        <w:rPr>
          <w:rFonts w:ascii="Consolas" w:cs="Consolas" w:eastAsia="Consolas" w:hAnsi="Consolas"/>
          <w:b w:val="false"/>
          <w:bCs w:val="false"/>
          <w:i w:val="false"/>
          <w:iCs w:val="false"/>
          <w:strike w:val="false"/>
          <w:color w:val="000000"/>
          <w:sz w:val="20"/>
          <w:szCs w:val="20"/>
          <w:shd w:fill="F0F0F0" w:color="auto" w:val="clear"/>
        </w:rPr>
        <w:t xml:space="preserve">_CROSS_CASE/Master_Timeline/</w:t>
      </w:r>
      <w:r>
        <w:rPr>
          <w:rFonts w:ascii="Cambria" w:cs="Cambria" w:eastAsia="Cambria" w:hAnsi="Cambria"/>
          <w:b w:val="false"/>
          <w:bCs w:val="false"/>
          <w:i w:val="false"/>
          <w:iCs w:val="false"/>
          <w:strike w:val="false"/>
          <w:color w:val="000000"/>
          <w:sz w:val="22"/>
          <w:szCs w:val="22"/>
        </w:rPr>
        <w:t xml:space="preserve">. This timeline shows how events in one case connect to events in others. For example, a maintenance failure documented in Case 01 (eviction defense) may also appear in Case 02 (fraud exposure) as evidence of misuse of maintenance funds, and in Case 04 (oversight complaints) as a regulatory violation.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Format: Spreadsheet with columns for Date, Event, Case(s) Linked, Evidence Reference, and Significance.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Updated whenever new evidence is logged or a new filing is made.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Exported as a PDF timeline exhibit when needed for filings or packets.</w:t>
      </w:r>
    </w:p>
    <w:p>
      <w:pPr>
        <w:pStyle w:val="Heading3"/>
        <w:spacing w:after="120" w:before="280" w:line="360" w:lineRule="auto"/>
      </w:pPr>
      <w:r>
        <w:rPr>
          <w:rFonts w:ascii="Cambria" w:cs="Cambria" w:eastAsia="Cambria" w:hAnsi="Cambria"/>
          <w:color w:val="000000"/>
          <w:sz w:val="28"/>
          <w:szCs w:val="28"/>
        </w:rPr>
        <w:t xml:space="preserve">8.2 Pattern Analysis</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Pattern analysis documents draw connections across cases to demonstrate systemic behavior, repeated violations, and escalation patterns. These documents are critical for:</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Case 02 (Fraud Exposure):</w:t>
      </w:r>
      <w:r>
        <w:rPr>
          <w:rFonts w:ascii="Cambria" w:cs="Cambria" w:eastAsia="Cambria" w:hAnsi="Cambria"/>
          <w:b w:val="false"/>
          <w:bCs w:val="false"/>
          <w:i w:val="false"/>
          <w:iCs w:val="false"/>
          <w:strike w:val="false"/>
          <w:color w:val="000000"/>
          <w:sz w:val="22"/>
          <w:szCs w:val="22"/>
        </w:rPr>
        <w:t xml:space="preserve"> Showing that individual incidents are not isolated but reflect a pattern of financial mismanagement.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Case 04 (Oversight Complaints):</w:t>
      </w:r>
      <w:r>
        <w:rPr>
          <w:rFonts w:ascii="Cambria" w:cs="Cambria" w:eastAsia="Cambria" w:hAnsi="Cambria"/>
          <w:b w:val="false"/>
          <w:bCs w:val="false"/>
          <w:i w:val="false"/>
          <w:iCs w:val="false"/>
          <w:strike w:val="false"/>
          <w:color w:val="000000"/>
          <w:sz w:val="22"/>
          <w:szCs w:val="22"/>
        </w:rPr>
        <w:t xml:space="preserve"> Demonstrating pattern-and-practice violations that trigger agency investigation authority.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Case 05 (Collective Action):</w:t>
      </w:r>
      <w:r>
        <w:rPr>
          <w:rFonts w:ascii="Cambria" w:cs="Cambria" w:eastAsia="Cambria" w:hAnsi="Cambria"/>
          <w:b w:val="false"/>
          <w:bCs w:val="false"/>
          <w:i w:val="false"/>
          <w:iCs w:val="false"/>
          <w:strike w:val="false"/>
          <w:color w:val="000000"/>
          <w:sz w:val="22"/>
          <w:szCs w:val="22"/>
        </w:rPr>
        <w:t xml:space="preserve"> Establishing that multiple tenants experience the same systemic issues, supporting potential class action theories.</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Stored in </w:t>
      </w:r>
      <w:r>
        <w:rPr>
          <w:rFonts w:ascii="Consolas" w:cs="Consolas" w:eastAsia="Consolas" w:hAnsi="Consolas"/>
          <w:b w:val="false"/>
          <w:bCs w:val="false"/>
          <w:i w:val="false"/>
          <w:iCs w:val="false"/>
          <w:strike w:val="false"/>
          <w:color w:val="000000"/>
          <w:sz w:val="20"/>
          <w:szCs w:val="20"/>
          <w:shd w:fill="F0F0F0" w:color="auto" w:val="clear"/>
        </w:rPr>
        <w:t xml:space="preserve">_CROSS_CASE/Pattern_Analysis/</w:t>
      </w:r>
      <w:r>
        <w:rPr>
          <w:rFonts w:ascii="Cambria" w:cs="Cambria" w:eastAsia="Cambria" w:hAnsi="Cambria"/>
          <w:b w:val="false"/>
          <w:bCs w:val="false"/>
          <w:i w:val="false"/>
          <w:iCs w:val="false"/>
          <w:strike w:val="false"/>
          <w:color w:val="000000"/>
          <w:sz w:val="22"/>
          <w:szCs w:val="22"/>
        </w:rPr>
        <w:t xml:space="preserve">. Each analysis document references specific exhibits by their cross-case exhibit codes.</w:t>
      </w:r>
    </w:p>
    <w:p>
      <w:pPr>
        <w:pStyle w:val="Heading3"/>
        <w:spacing w:after="120" w:before="280" w:line="360" w:lineRule="auto"/>
      </w:pPr>
      <w:r>
        <w:rPr>
          <w:rFonts w:ascii="Cambria" w:cs="Cambria" w:eastAsia="Cambria" w:hAnsi="Cambria"/>
          <w:color w:val="000000"/>
          <w:sz w:val="28"/>
          <w:szCs w:val="28"/>
        </w:rPr>
        <w:t xml:space="preserve">8.3 Shared Exhibits</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Evidence relevant to multiple cases is stored once in </w:t>
      </w:r>
      <w:r>
        <w:rPr>
          <w:rFonts w:ascii="Consolas" w:cs="Consolas" w:eastAsia="Consolas" w:hAnsi="Consolas"/>
          <w:b w:val="false"/>
          <w:bCs w:val="false"/>
          <w:i w:val="false"/>
          <w:iCs w:val="false"/>
          <w:strike w:val="false"/>
          <w:color w:val="000000"/>
          <w:sz w:val="20"/>
          <w:szCs w:val="20"/>
          <w:shd w:fill="F0F0F0" w:color="auto" w:val="clear"/>
        </w:rPr>
        <w:t xml:space="preserve">_CROSS_CASE/Shared_Exhibits/</w:t>
      </w:r>
      <w:r>
        <w:rPr>
          <w:rFonts w:ascii="Cambria" w:cs="Cambria" w:eastAsia="Cambria" w:hAnsi="Cambria"/>
          <w:b w:val="false"/>
          <w:bCs w:val="false"/>
          <w:i w:val="false"/>
          <w:iCs w:val="false"/>
          <w:strike w:val="false"/>
          <w:color w:val="000000"/>
          <w:sz w:val="22"/>
          <w:szCs w:val="22"/>
        </w:rPr>
        <w:t xml:space="preserve"> and referenced by exhibit code in each case’s workbook log. This prevents duplication and ensures that updates to shared evidence propagate consistently.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 shared exhibit retains its original exhibit number from the case where it was first catalogued.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In each additional case’s log, the exhibit is cross-referenced with a note: “See Shared Exhibit EX-02-007.”</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If a shared exhibit is modified (e.g., annotated for a specific filing), the modified version gets a new exhibit number in the target case. The original remains unchanged in Shared_Exhibits.</w:t>
      </w:r>
    </w:p>
    <w:p>
      <w:pPr>
        <w:pStyle w:val="Heading3"/>
        <w:spacing w:after="120" w:before="280" w:line="360" w:lineRule="auto"/>
      </w:pPr>
      <w:r>
        <w:rPr>
          <w:rFonts w:ascii="Cambria" w:cs="Cambria" w:eastAsia="Cambria" w:hAnsi="Cambria"/>
          <w:color w:val="000000"/>
          <w:sz w:val="28"/>
          <w:szCs w:val="28"/>
        </w:rPr>
        <w:t xml:space="preserve">8.4 Conflict Checking</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Before filing any document in any case, conduct a cross-case conflict check:</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Strategy review:</w:t>
      </w:r>
      <w:r>
        <w:rPr>
          <w:rFonts w:ascii="Cambria" w:cs="Cambria" w:eastAsia="Cambria" w:hAnsi="Cambria"/>
          <w:b w:val="false"/>
          <w:bCs w:val="false"/>
          <w:i w:val="false"/>
          <w:iCs w:val="false"/>
          <w:strike w:val="false"/>
          <w:color w:val="000000"/>
          <w:sz w:val="22"/>
          <w:szCs w:val="22"/>
        </w:rPr>
        <w:t xml:space="preserve"> Does this filing reveal information that could be adverse in another case? (Example: A factual admission in the eviction defense could undermine a claim in the damage deposit case.)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Timeline consistency:</w:t>
      </w:r>
      <w:r>
        <w:rPr>
          <w:rFonts w:ascii="Cambria" w:cs="Cambria" w:eastAsia="Cambria" w:hAnsi="Cambria"/>
          <w:b w:val="false"/>
          <w:bCs w:val="false"/>
          <w:i w:val="false"/>
          <w:iCs w:val="false"/>
          <w:strike w:val="false"/>
          <w:color w:val="000000"/>
          <w:sz w:val="22"/>
          <w:szCs w:val="22"/>
        </w:rPr>
        <w:t xml:space="preserve"> Does the timeline presented in this filing align with timelines submitted in other cases?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Evidence exposure:</w:t>
      </w:r>
      <w:r>
        <w:rPr>
          <w:rFonts w:ascii="Cambria" w:cs="Cambria" w:eastAsia="Cambria" w:hAnsi="Cambria"/>
          <w:b w:val="false"/>
          <w:bCs w:val="false"/>
          <w:i w:val="false"/>
          <w:iCs w:val="false"/>
          <w:strike w:val="false"/>
          <w:color w:val="000000"/>
          <w:sz w:val="22"/>
          <w:szCs w:val="22"/>
        </w:rPr>
        <w:t xml:space="preserve"> Does this filing expose evidence that should remain confidential in another matter?</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Deadline conflicts:</w:t>
      </w:r>
      <w:r>
        <w:rPr>
          <w:rFonts w:ascii="Cambria" w:cs="Cambria" w:eastAsia="Cambria" w:hAnsi="Cambria"/>
          <w:b w:val="false"/>
          <w:bCs w:val="false"/>
          <w:i w:val="false"/>
          <w:iCs w:val="false"/>
          <w:strike w:val="false"/>
          <w:color w:val="000000"/>
          <w:sz w:val="22"/>
          <w:szCs w:val="22"/>
        </w:rPr>
        <w:t xml:space="preserve"> Does this filing trigger deadlines that conflict with deadlines in other cases?</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Document the conflict check result in the workbook entry for the filing. Even a “no conflict identified” notation creates a record of diligence.</w:t>
      </w:r>
    </w:p>
    <w:p>
      <w:pPr>
        <w:pStyle w:val="Heading2"/>
        <w:spacing w:after="100" w:before="480" w:line="360" w:lineRule="auto"/>
      </w:pPr>
      <w:r>
        <w:rPr>
          <w:rFonts w:ascii="Cambria" w:cs="Cambria" w:eastAsia="Cambria" w:hAnsi="Cambria"/>
          <w:color w:val="000000"/>
          <w:sz w:val="36"/>
          <w:szCs w:val="36"/>
        </w:rPr>
        <w:t xml:space="preserve">SECTION 9. COLLABORATION PROTOCOL</w:t>
      </w:r>
    </w:p>
    <w:p>
      <w:pPr>
        <w:pBdr>
          <w:top w:val="single" w:color="000000" w:sz="6"/>
        </w:pBdr>
        <w:spacing w:after="200" w:before="0"/>
      </w:pPr>
    </w:p>
    <w:p>
      <w:pPr>
        <w:pStyle w:val="Heading3"/>
        <w:spacing w:after="120" w:before="280" w:line="360" w:lineRule="auto"/>
      </w:pPr>
      <w:r>
        <w:rPr>
          <w:rFonts w:ascii="Cambria" w:cs="Cambria" w:eastAsia="Cambria" w:hAnsi="Cambria"/>
          <w:color w:val="000000"/>
          <w:sz w:val="28"/>
          <w:szCs w:val="28"/>
        </w:rPr>
        <w:t xml:space="preserve">9.1 Dena Sazama — Tenant Advocate Collaboration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Parameter</w:t>
            </w:r>
          </w:p>
        </w:tc>
        <w:tc>
          <w:tcPr>
            <w:tcW w:type="pct" w:w="8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Protocol</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Role</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Tenant advocate, co-strategist, witness coordinator, community liaison.</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Access Level</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Shared access to Case 05 (Collective Action) materials. Case-specific access to Cases 01–04 on a need-to-know basis for cross-case coordination.</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Shared Documents</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Documents shared with Dena are exported as PDF copies. Working drafts (DOCX) remain under sole control. Shared PDFs are marked with </w:t>
            </w:r>
            <w:r>
              <w:rPr>
                <w:rFonts w:ascii="Consolas" w:cs="Consolas" w:eastAsia="Consolas" w:hAnsi="Consolas"/>
                <w:b w:val="false"/>
                <w:bCs w:val="false"/>
                <w:i w:val="false"/>
                <w:iCs w:val="false"/>
                <w:strike w:val="false"/>
                <w:color w:val="000000"/>
                <w:sz w:val="20"/>
                <w:szCs w:val="20"/>
                <w:shd w:fill="F0F0F0" w:color="auto" w:val="clear"/>
              </w:rPr>
              <w:t xml:space="preserve">-SENT-Dena</w:t>
            </w:r>
            <w:r>
              <w:rPr>
                <w:rFonts w:ascii="Cambria" w:cs="Cambria" w:eastAsia="Cambria" w:hAnsi="Cambria"/>
                <w:b w:val="false"/>
                <w:bCs w:val="false"/>
                <w:i w:val="false"/>
                <w:iCs w:val="false"/>
                <w:strike w:val="false"/>
                <w:color w:val="000000"/>
                <w:sz w:val="20"/>
                <w:szCs w:val="20"/>
              </w:rPr>
              <w:t xml:space="preserve"> suffix and logged.</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Communication</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All substantive communications are documented. Strategy discussions are summarized in a memo within 24 hours. Email confirmations of agreed actions are standard practice.</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Evidence Intake</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Evidence provided by Dena follows the standard intake protocol (Section 6). Source is logged as “Dena Sazama” in the workbook.</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9.2 Tenant Network (Apt 212, Apt 103, Others)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Parameter</w:t>
            </w:r>
          </w:p>
        </w:tc>
        <w:tc>
          <w:tcPr>
            <w:tcW w:type="pct" w:w="8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Protocol</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Evidence Intake</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Tenant-provided evidence (photos, statements, communications) enters through the standard intake workflow. Each item is tagged with the providing tenant’s identifier (apartment number or anonymous code).</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Privacy Protection</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Every tenant is assigned a privacy level upon first contact: PUBLIC (full name usable), ANONYMOUS (apartment/code only), or RESTRICTED (attorney access only). Privacy level is recorded in the workbook and respected in every export.</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Statement Drafting</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Tenant statements are drafted collaboratively. The tenant reviews, approves, and signs (digitally or physically) before the statement enters the system as a final version.</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Multilingual Support</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Materials for tenants who require non-English communication are prepared in their preferred language and stored in </w:t>
            </w:r>
            <w:r>
              <w:rPr>
                <w:rFonts w:ascii="Consolas" w:cs="Consolas" w:eastAsia="Consolas" w:hAnsi="Consolas"/>
                <w:b w:val="false"/>
                <w:bCs w:val="false"/>
                <w:i w:val="false"/>
                <w:iCs w:val="false"/>
                <w:strike w:val="false"/>
                <w:color w:val="000000"/>
                <w:sz w:val="20"/>
                <w:szCs w:val="20"/>
                <w:shd w:fill="F0F0F0" w:color="auto" w:val="clear"/>
              </w:rPr>
              <w:t xml:space="preserve">CASE_05/04_Multilingual/[LanguageCode]/</w:t>
            </w:r>
            <w:r>
              <w:rPr>
                <w:rFonts w:ascii="Cambria" w:cs="Cambria" w:eastAsia="Cambria" w:hAnsi="Cambria"/>
                <w:b w:val="false"/>
                <w:bCs w:val="false"/>
                <w:i w:val="false"/>
                <w:iCs w:val="false"/>
                <w:strike w:val="false"/>
                <w:color w:val="000000"/>
                <w:sz w:val="20"/>
                <w:szCs w:val="20"/>
              </w:rPr>
              <w:t xml:space="preserve">.</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9.3 Attorney Collaboration — Case Handoff Protocol</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When an attorney agrees to take on or consult on a case, the following handoff package is prepared: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Attorney Packet</w:t>
      </w:r>
      <w:r>
        <w:rPr>
          <w:rFonts w:ascii="Cambria" w:cs="Cambria" w:eastAsia="Cambria" w:hAnsi="Cambria"/>
          <w:b w:val="false"/>
          <w:bCs w:val="false"/>
          <w:i w:val="false"/>
          <w:iCs w:val="false"/>
          <w:strike w:val="false"/>
          <w:color w:val="000000"/>
          <w:sz w:val="22"/>
          <w:szCs w:val="22"/>
        </w:rPr>
        <w:t xml:space="preserve"> (per Section 7D): Case summary memo, full timeline, complete exhibit list, key documents, statutory framework, procedural history.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Bulk ZIP Export</w:t>
      </w:r>
      <w:r>
        <w:rPr>
          <w:rFonts w:ascii="Cambria" w:cs="Cambria" w:eastAsia="Cambria" w:hAnsi="Cambria"/>
          <w:b w:val="false"/>
          <w:bCs w:val="false"/>
          <w:i w:val="false"/>
          <w:iCs w:val="false"/>
          <w:strike w:val="false"/>
          <w:color w:val="000000"/>
          <w:sz w:val="22"/>
          <w:szCs w:val="22"/>
        </w:rPr>
        <w:t xml:space="preserve"> (per Section 7E): Self-contained bundle with README, all documents, and exhibit index.</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Workbook Extract:</w:t>
      </w:r>
      <w:r>
        <w:rPr>
          <w:rFonts w:ascii="Cambria" w:cs="Cambria" w:eastAsia="Cambria" w:hAnsi="Cambria"/>
          <w:b w:val="false"/>
          <w:bCs w:val="false"/>
          <w:i w:val="false"/>
          <w:iCs w:val="false"/>
          <w:strike w:val="false"/>
          <w:color w:val="000000"/>
          <w:sz w:val="22"/>
          <w:szCs w:val="22"/>
        </w:rPr>
        <w:t xml:space="preserve"> Filtered view of the Case &amp; Evidence Management Workbook showing only entries relevant to the case being handed off.</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Access briefing:</w:t>
      </w:r>
      <w:r>
        <w:rPr>
          <w:rFonts w:ascii="Cambria" w:cs="Cambria" w:eastAsia="Cambria" w:hAnsi="Cambria"/>
          <w:b w:val="false"/>
          <w:bCs w:val="false"/>
          <w:i w:val="false"/>
          <w:iCs w:val="false"/>
          <w:strike w:val="false"/>
          <w:color w:val="000000"/>
          <w:sz w:val="22"/>
          <w:szCs w:val="22"/>
        </w:rPr>
        <w:t xml:space="preserve"> Walk the attorney through the folder structure, naming conventions, and how to find specific documents. Provide a copy of this Blueprint’s naming convention section.</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goal: an attorney receiving this package can begin substantive legal work within one hour of receiving it, without needing to ask clarifying questions about the file organization.</w:t>
      </w:r>
    </w:p>
    <w:p>
      <w:pPr>
        <w:pStyle w:val="Heading3"/>
        <w:spacing w:after="120" w:before="280" w:line="360" w:lineRule="auto"/>
      </w:pPr>
      <w:r>
        <w:rPr>
          <w:rFonts w:ascii="Cambria" w:cs="Cambria" w:eastAsia="Cambria" w:hAnsi="Cambria"/>
          <w:color w:val="000000"/>
          <w:sz w:val="28"/>
          <w:szCs w:val="28"/>
        </w:rPr>
        <w:t xml:space="preserve">9.4 Semptify Integration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Semptify Function</w:t>
            </w:r>
          </w:p>
        </w:tc>
        <w:tc>
          <w:tcPr>
            <w:tcW w:type="pct" w:w="8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Filing System Integration Point</w:t>
            </w:r>
          </w:p>
        </w:tc>
      </w:tr>
      <w:tr>
        <w:trPr>
          <w:tblHeader w:val="false"/>
        </w:trPr>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PDF Generation</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Semptify generates PDFs from templates. Output files are named per Section 4 conventions and saved to the correct case folder. The Semptify workflow must enforce the naming pattern.</w:t>
            </w:r>
          </w:p>
        </w:tc>
      </w:tr>
      <w:tr>
        <w:trPr>
          <w:tblHeader w:val="false"/>
        </w:trPr>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Multilingual Export</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Quad-lingual document generation (EN, ES, SO, HM) outputs to </w:t>
            </w:r>
            <w:r>
              <w:rPr>
                <w:rFonts w:ascii="Consolas" w:cs="Consolas" w:eastAsia="Consolas" w:hAnsi="Consolas"/>
                <w:b w:val="false"/>
                <w:bCs w:val="false"/>
                <w:i w:val="false"/>
                <w:iCs w:val="false"/>
                <w:strike w:val="false"/>
                <w:color w:val="000000"/>
                <w:sz w:val="20"/>
                <w:szCs w:val="20"/>
                <w:shd w:fill="F0F0F0" w:color="auto" w:val="clear"/>
              </w:rPr>
              <w:t xml:space="preserve">CASE_05/04_Multilingual/[LanguageCode]/</w:t>
            </w:r>
            <w:r>
              <w:rPr>
                <w:rFonts w:ascii="Cambria" w:cs="Cambria" w:eastAsia="Cambria" w:hAnsi="Cambria"/>
                <w:b w:val="false"/>
                <w:bCs w:val="false"/>
                <w:i w:val="false"/>
                <w:iCs w:val="false"/>
                <w:strike w:val="false"/>
                <w:color w:val="000000"/>
                <w:sz w:val="20"/>
                <w:szCs w:val="20"/>
              </w:rPr>
              <w:t xml:space="preserve">. Each language version carries the same base filename with a language suffix.</w:t>
            </w:r>
          </w:p>
        </w:tc>
      </w:tr>
      <w:tr>
        <w:trPr>
          <w:tblHeader w:val="false"/>
        </w:trPr>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Bulk ZIP Assembly</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Semptify assembles export bundles per Section 7E specifications. The automation must include README generation, exhibit indexing, and correct folder structure within the ZIP.</w:t>
            </w:r>
          </w:p>
        </w:tc>
      </w:tr>
      <w:tr>
        <w:trPr>
          <w:tblHeader w:val="false"/>
        </w:trPr>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Workbook Updates</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Where possible, Semptify automation logs entries directly to the Case &amp; Evidence Management Workbook, reducing manual data entry.</w:t>
            </w:r>
          </w:p>
        </w:tc>
      </w:tr>
      <w:tr>
        <w:trPr>
          <w:tblHeader w:val="false"/>
        </w:trPr>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Checkpoint Creation</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Semptify can be configured to create automatic ZIP checkpoints at defined trigger points (filing, sending, weekly schedule).</w:t>
            </w:r>
          </w:p>
        </w:tc>
      </w:tr>
    </w:tbl>
    <w:p>
      <w:pPr>
        <w:spacing w:after="200" w:before="0"/>
      </w:pPr>
    </w:p>
    <w:p>
      <w:pPr>
        <w:pStyle w:val="Heading2"/>
        <w:spacing w:after="100" w:before="480" w:line="360" w:lineRule="auto"/>
      </w:pPr>
      <w:r>
        <w:rPr>
          <w:rFonts w:ascii="Cambria" w:cs="Cambria" w:eastAsia="Cambria" w:hAnsi="Cambria"/>
          <w:color w:val="000000"/>
          <w:sz w:val="36"/>
          <w:szCs w:val="36"/>
        </w:rPr>
        <w:t xml:space="preserve">SECTION 10. SYSTEM MAINTENANCE</w:t>
      </w:r>
    </w:p>
    <w:p>
      <w:pPr>
        <w:pBdr>
          <w:top w:val="single" w:color="000000" w:sz="6"/>
        </w:pBdr>
        <w:spacing w:after="200" w:before="0"/>
      </w:pPr>
    </w:p>
    <w:p>
      <w:pPr>
        <w:pStyle w:val="Heading3"/>
        <w:spacing w:after="120" w:before="280" w:line="360" w:lineRule="auto"/>
      </w:pPr>
      <w:r>
        <w:rPr>
          <w:rFonts w:ascii="Cambria" w:cs="Cambria" w:eastAsia="Cambria" w:hAnsi="Cambria"/>
          <w:color w:val="000000"/>
          <w:sz w:val="28"/>
          <w:szCs w:val="28"/>
        </w:rPr>
        <w:t xml:space="preserve">10.1 Weekly Review Checklist</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Conduct every Sunday evening or Monday morning. Estimated time: 30–45 minutes.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w:t>
            </w:r>
          </w:p>
        </w:tc>
        <w:tc>
          <w:tcPr>
            <w:tcW w:type="pct" w:w="27%"/>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Task</w:t>
            </w:r>
          </w:p>
        </w:tc>
        <w:tc>
          <w:tcPr>
            <w:tcW w:type="pct" w:w="6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Details</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All new evidence logged in workbook</w:t>
            </w:r>
          </w:p>
        </w:tc>
        <w:tc>
          <w:tcPr>
            <w:tcW w:type="pct" w:w="6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Review each case’s Evidence folder. Every file must have a corresponding workbook entry.</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File versions current</w:t>
            </w:r>
          </w:p>
        </w:tc>
        <w:tc>
          <w:tcPr>
            <w:tcW w:type="pct" w:w="6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Verify that the latest version of each active document is clearly identifiable. No “final_final_v2” naming.</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Deadlines tracked</w:t>
            </w:r>
          </w:p>
        </w:tc>
        <w:tc>
          <w:tcPr>
            <w:tcW w:type="pct" w:w="6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Review all court deadlines, agency response deadlines, and self-imposed deadlines. Update workbook.</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ZIP checkpoints created</w:t>
            </w:r>
          </w:p>
        </w:tc>
        <w:tc>
          <w:tcPr>
            <w:tcW w:type="pct" w:w="6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Each active case must have at least one checkpoint created this week.</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GitHub synced</w:t>
            </w:r>
          </w:p>
        </w:tc>
        <w:tc>
          <w:tcPr>
            <w:tcW w:type="pct" w:w="6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Push any outstanding checkpoints or key documents to GitHub.</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Cross-case timeline updated</w:t>
            </w:r>
          </w:p>
        </w:tc>
        <w:tc>
          <w:tcPr>
            <w:tcW w:type="pct" w:w="6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Add any new events from the past week to the Master Timeline.</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Correspondence logged</w:t>
            </w:r>
          </w:p>
        </w:tc>
        <w:tc>
          <w:tcPr>
            <w:tcW w:type="pct" w:w="6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All sent and received communications from the past week are captured and logged.</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10.2 Monthly Audit</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Conduct on the first of each month. Estimated time: 60–90 minutes.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8%"/>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w:t>
            </w:r>
          </w:p>
        </w:tc>
        <w:tc>
          <w:tcPr>
            <w:tcW w:type="pct" w:w="21%"/>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Task</w:t>
            </w:r>
          </w:p>
        </w:tc>
        <w:tc>
          <w:tcPr>
            <w:tcW w:type="pct" w:w="71%"/>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Details</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Naming convention compliance</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Spot-check 10+ files per case. Every file must conform to the naming pattern in Section 4. Correct any violations immediately.</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Cross-case links current</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Review shared exhibits and cross-case tags in the workbook. Verify references are accurate and no orphaned links exist.</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GitHub fully synced</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Verify that all checkpoints from the past month are pushed. Review commit history for completeness.</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Export templates updated</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Review templates in </w:t>
            </w:r>
            <w:r>
              <w:rPr>
                <w:rFonts w:ascii="Consolas" w:cs="Consolas" w:eastAsia="Consolas" w:hAnsi="Consolas"/>
                <w:b w:val="false"/>
                <w:bCs w:val="false"/>
                <w:i w:val="false"/>
                <w:iCs w:val="false"/>
                <w:strike w:val="false"/>
                <w:color w:val="000000"/>
                <w:sz w:val="20"/>
                <w:szCs w:val="20"/>
                <w:shd w:fill="F0F0F0" w:color="auto" w:val="clear"/>
              </w:rPr>
              <w:t xml:space="preserve">_SYSTEM/Export_Templates/</w:t>
            </w:r>
            <w:r>
              <w:rPr>
                <w:rFonts w:ascii="Cambria" w:cs="Cambria" w:eastAsia="Cambria" w:hAnsi="Cambria"/>
                <w:b w:val="false"/>
                <w:bCs w:val="false"/>
                <w:i w:val="false"/>
                <w:iCs w:val="false"/>
                <w:strike w:val="false"/>
                <w:color w:val="000000"/>
                <w:sz w:val="20"/>
                <w:szCs w:val="20"/>
              </w:rPr>
              <w:t xml:space="preserve">. Update any that have become stale or non-compliant with current filing requirements.</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Archive review</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Move any superseded documents or closed sub-matters to </w:t>
            </w:r>
            <w:r>
              <w:rPr>
                <w:rFonts w:ascii="Consolas" w:cs="Consolas" w:eastAsia="Consolas" w:hAnsi="Consolas"/>
                <w:b w:val="false"/>
                <w:bCs w:val="false"/>
                <w:i w:val="false"/>
                <w:iCs w:val="false"/>
                <w:strike w:val="false"/>
                <w:color w:val="000000"/>
                <w:sz w:val="20"/>
                <w:szCs w:val="20"/>
                <w:shd w:fill="F0F0F0" w:color="auto" w:val="clear"/>
              </w:rPr>
              <w:t xml:space="preserve">_ARCHIVE/</w:t>
            </w:r>
            <w:r>
              <w:rPr>
                <w:rFonts w:ascii="Cambria" w:cs="Cambria" w:eastAsia="Cambria" w:hAnsi="Cambria"/>
                <w:b w:val="false"/>
                <w:bCs w:val="false"/>
                <w:i w:val="false"/>
                <w:iCs w:val="false"/>
                <w:strike w:val="false"/>
                <w:color w:val="000000"/>
                <w:sz w:val="20"/>
                <w:szCs w:val="20"/>
              </w:rPr>
              <w:t xml:space="preserve">.</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Workbook integrity</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Verify no duplicate entries, no missing fields, no broken cross-references.</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Backup verification</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Confirm that the most recent checkpoint for each case can be unzipped and the contents are intact and complete.</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10.3 Checkpoint Schedule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2%"/>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Trigger</w:t>
            </w:r>
          </w:p>
        </w:tc>
        <w:tc>
          <w:tcPr>
            <w:tcW w:type="pct" w:w="23%"/>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Frequency</w:t>
            </w:r>
          </w:p>
        </w:tc>
        <w:tc>
          <w:tcPr>
            <w:tcW w:type="pct" w:w="3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Scope</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Court filing submitted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Every occurrence</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Single case checkpoint</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Packet sent to agency/press/attorney</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Every occurrence</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Single case checkpoint</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Evidence batch compiled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Every occurrence</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Single case checkpoint</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Weekly maintenance cycle</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Weekly</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All active cases</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Major folder reorganization</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Before and after</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Affected cases + _CROSS_CASE</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System-wide milestone</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As needed</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Full </w:t>
            </w:r>
            <w:r>
              <w:rPr>
                <w:rFonts w:ascii="Consolas" w:cs="Consolas" w:eastAsia="Consolas" w:hAnsi="Consolas"/>
                <w:b w:val="false"/>
                <w:bCs w:val="false"/>
                <w:i w:val="false"/>
                <w:iCs w:val="false"/>
                <w:strike w:val="false"/>
                <w:color w:val="000000"/>
                <w:sz w:val="20"/>
                <w:szCs w:val="20"/>
                <w:shd w:fill="F0F0F0" w:color="auto" w:val="clear"/>
              </w:rPr>
              <w:t xml:space="preserve">/LEGAL_FILING_SYSTEM/</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10.4 Disaster Recovery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7" w:color="auto" w:val="clear"/>
            <w:tcMar>
              <w:top w:type="dxa" w:w="180"/>
              <w:left w:type="dxa" w:w="240"/>
              <w:bottom w:type="dxa" w:w="180"/>
              <w:right w:type="dxa" w:w="240"/>
            </w:tcMar>
          </w:tcPr>
          <w:p>
            <w:pPr>
              <w:spacing w:after="120" w:line="408" w:lineRule="auto"/>
            </w:pPr>
            <w:r>
              <w:rPr>
                <w:b/>
                <w:bCs/>
                <w:i w:val="false"/>
                <w:iCs w:val="false"/>
                <w:color w:val="000000"/>
              </w:rPr>
              <w:t xml:space="preserve">Recovery Guarantee</w:t>
            </w:r>
          </w:p>
          <w:p>
            <w:pPr>
              <w:spacing w:after="120" w:line="360" w:lineRule="auto"/>
            </w:pPr>
            <w:r>
              <w:rPr>
                <w:rFonts w:ascii="Cambria" w:cs="Cambria" w:eastAsia="Cambria" w:hAnsi="Cambria"/>
                <w:b w:val="false"/>
                <w:bCs w:val="false"/>
                <w:i w:val="false"/>
                <w:iCs w:val="false"/>
                <w:strike w:val="false"/>
                <w:color w:val="000000"/>
                <w:sz w:val="22"/>
                <w:szCs w:val="22"/>
              </w:rPr>
              <w:t xml:space="preserve">The three-tier version control system ensures that the complete filing system can be rebuilt from any combination of two tiers:</w:t>
            </w:r>
          </w:p>
          <w:p>
            <w:pPr>
              <w:spacing w:after="100" w:line="408" w:lineRule="auto"/>
              <w:ind w:left="240"/>
            </w:pPr>
            <w:r>
              <w:t xml:space="preserve">•  </w:t>
            </w:r>
            <w:r>
              <w:rPr>
                <w:rFonts w:ascii="Cambria" w:cs="Cambria" w:eastAsia="Cambria" w:hAnsi="Cambria"/>
                <w:b/>
                <w:bCs/>
                <w:i w:val="false"/>
                <w:iCs w:val="false"/>
                <w:strike w:val="false"/>
                <w:color w:val="000000"/>
                <w:sz w:val="22"/>
                <w:szCs w:val="22"/>
              </w:rPr>
              <w:t xml:space="preserve">Local files lost:</w:t>
            </w:r>
            <w:r>
              <w:rPr>
                <w:rFonts w:ascii="Cambria" w:cs="Cambria" w:eastAsia="Cambria" w:hAnsi="Cambria"/>
                <w:b w:val="false"/>
                <w:bCs w:val="false"/>
                <w:i w:val="false"/>
                <w:iCs w:val="false"/>
                <w:strike w:val="false"/>
                <w:color w:val="000000"/>
                <w:sz w:val="22"/>
                <w:szCs w:val="22"/>
              </w:rPr>
              <w:t xml:space="preserve"> Restore from latest ZIP checkpoint (Tier 2) or pull from GitHub (Tier 3).</w:t>
            </w:r>
          </w:p>
          <w:p>
            <w:pPr>
              <w:spacing w:after="100" w:line="408" w:lineRule="auto"/>
              <w:ind w:left="240"/>
            </w:pPr>
            <w:r>
              <w:t xml:space="preserve">•  </w:t>
            </w:r>
            <w:r>
              <w:rPr>
                <w:rFonts w:ascii="Cambria" w:cs="Cambria" w:eastAsia="Cambria" w:hAnsi="Cambria"/>
                <w:b/>
                <w:bCs/>
                <w:i w:val="false"/>
                <w:iCs w:val="false"/>
                <w:strike w:val="false"/>
                <w:color w:val="000000"/>
                <w:sz w:val="22"/>
                <w:szCs w:val="22"/>
              </w:rPr>
              <w:t xml:space="preserve">ZIP checkpoints lost:</w:t>
            </w:r>
            <w:r>
              <w:rPr>
                <w:rFonts w:ascii="Cambria" w:cs="Cambria" w:eastAsia="Cambria" w:hAnsi="Cambria"/>
                <w:b w:val="false"/>
                <w:bCs w:val="false"/>
                <w:i w:val="false"/>
                <w:iCs w:val="false"/>
                <w:strike w:val="false"/>
                <w:color w:val="000000"/>
                <w:sz w:val="22"/>
                <w:szCs w:val="22"/>
              </w:rPr>
              <w:t xml:space="preserve"> Reconstruct from local files (Tier 1) + GitHub history (Tier 3).</w:t>
            </w:r>
          </w:p>
          <w:p>
            <w:pPr>
              <w:spacing w:after="100" w:line="408" w:lineRule="auto"/>
              <w:ind w:left="240"/>
            </w:pPr>
            <w:r>
              <w:t xml:space="preserve">•  </w:t>
            </w:r>
            <w:r>
              <w:rPr>
                <w:rFonts w:ascii="Cambria" w:cs="Cambria" w:eastAsia="Cambria" w:hAnsi="Cambria"/>
                <w:b/>
                <w:bCs/>
                <w:i w:val="false"/>
                <w:iCs w:val="false"/>
                <w:strike w:val="false"/>
                <w:color w:val="000000"/>
                <w:sz w:val="22"/>
                <w:szCs w:val="22"/>
              </w:rPr>
              <w:t xml:space="preserve">GitHub compromised:</w:t>
            </w:r>
            <w:r>
              <w:rPr>
                <w:rFonts w:ascii="Cambria" w:cs="Cambria" w:eastAsia="Cambria" w:hAnsi="Cambria"/>
                <w:b w:val="false"/>
                <w:bCs w:val="false"/>
                <w:i w:val="false"/>
                <w:iCs w:val="false"/>
                <w:strike w:val="false"/>
                <w:color w:val="000000"/>
                <w:sz w:val="22"/>
                <w:szCs w:val="22"/>
              </w:rPr>
              <w:t xml:space="preserve"> Full system exists locally (Tier 1) with ZIP backups (Tier 2).</w:t>
            </w:r>
          </w:p>
          <w:p>
            <w:pPr>
              <w:spacing w:after="100" w:line="408" w:lineRule="auto"/>
              <w:ind w:left="240"/>
            </w:pPr>
            <w:r>
              <w:t xml:space="preserve">•  </w:t>
            </w:r>
            <w:r>
              <w:rPr>
                <w:rFonts w:ascii="Cambria" w:cs="Cambria" w:eastAsia="Cambria" w:hAnsi="Cambria"/>
                <w:b/>
                <w:bCs/>
                <w:i w:val="false"/>
                <w:iCs w:val="false"/>
                <w:strike w:val="false"/>
                <w:color w:val="000000"/>
                <w:sz w:val="22"/>
                <w:szCs w:val="22"/>
              </w:rPr>
              <w:t xml:space="preserve">Total local loss (device failure):</w:t>
            </w:r>
            <w:r>
              <w:rPr>
                <w:rFonts w:ascii="Cambria" w:cs="Cambria" w:eastAsia="Cambria" w:hAnsi="Cambria"/>
                <w:b w:val="false"/>
                <w:bCs w:val="false"/>
                <w:i w:val="false"/>
                <w:iCs w:val="false"/>
                <w:strike w:val="false"/>
                <w:color w:val="000000"/>
                <w:sz w:val="22"/>
                <w:szCs w:val="22"/>
              </w:rPr>
              <w:t xml:space="preserve"> Clone GitHub repository (Tier 3). All checkpoints and key documents are recoverable. Resume operations from the last pushed state.</w:t>
            </w:r>
          </w:p>
        </w:tc>
      </w:tr>
    </w:tbl>
    <w:p>
      <w:pPr>
        <w:spacing w:after="240" w:before="0"/>
      </w:pPr>
    </w:p>
    <w:p>
      <w:pPr>
        <w:spacing w:after="120" w:before="60" w:line="360" w:lineRule="auto"/>
      </w:pPr>
      <w:r>
        <w:rPr>
          <w:rFonts w:ascii="Cambria" w:cs="Cambria" w:eastAsia="Cambria" w:hAnsi="Cambria"/>
          <w:b/>
          <w:bCs/>
          <w:i w:val="false"/>
          <w:iCs w:val="false"/>
          <w:strike w:val="false"/>
          <w:color w:val="000000"/>
          <w:sz w:val="22"/>
          <w:szCs w:val="22"/>
        </w:rPr>
        <w:t xml:space="preserve">Recovery testing:</w:t>
      </w:r>
      <w:r>
        <w:rPr>
          <w:rFonts w:ascii="Cambria" w:cs="Cambria" w:eastAsia="Cambria" w:hAnsi="Cambria"/>
          <w:b w:val="false"/>
          <w:bCs w:val="false"/>
          <w:i w:val="false"/>
          <w:iCs w:val="false"/>
          <w:strike w:val="false"/>
          <w:color w:val="000000"/>
          <w:sz w:val="22"/>
          <w:szCs w:val="22"/>
        </w:rPr>
        <w:t xml:space="preserve"> Once per quarter, select one case at random and verify that the full case folder can be reconstructed from the latest GitHub checkpoint alone. Document the test result and any gaps discovered.</w:t>
      </w:r>
    </w:p>
    <w:p>
      <w:pPr>
        <w:pStyle w:val="Heading2"/>
        <w:spacing w:after="100" w:before="480" w:line="360" w:lineRule="auto"/>
      </w:pPr>
      <w:r>
        <w:rPr>
          <w:rFonts w:ascii="Cambria" w:cs="Cambria" w:eastAsia="Cambria" w:hAnsi="Cambria"/>
          <w:color w:val="000000"/>
          <w:sz w:val="36"/>
          <w:szCs w:val="36"/>
        </w:rPr>
        <w:t xml:space="preserve">AUTHORIZATION</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This Blueprint is the governing document of the Legal Filing System operated by Bradley Crowe. All cases, evidence, filings, exports, and collaborative activities conducted under this system shall conform to the standards defined herein. This document supersedes all prior filing protocols and informal practices.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blHeader w:val="false"/>
        </w:trPr>
        <w:tc>
          <w:tcPr>
            <w:tcW w:type="pct" w:w="100%"/>
            <w:tcMar>
              <w:top w:type="dxa" w:w="90"/>
              <w:left w:type="dxa" w:w="120"/>
              <w:bottom w:type="dxa" w:w="90"/>
              <w:right w:type="dxa" w:w="120"/>
            </w:tcMar>
          </w:tcPr>
          <w:p>
            <w:r>
              <w:rPr>
                <w:b w:val="false"/>
                <w:bCs w:val="false"/>
              </w:rPr>
              <w:t xml:space="preserve"/>
            </w:r>
          </w:p>
        </w:tc>
      </w:tr>
      <w:tr>
        <w:trPr>
          <w:tblHeader w:val="false"/>
        </w:trPr>
        <w:tc>
          <w:tcPr>
            <w:tcW w:type="pct" w:w="10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Bradley Crowe</w:t>
            </w:r>
            <w:r>
              <w:rPr>
                <w:rFonts w:ascii="Cambria" w:cs="Cambria" w:eastAsia="Cambria" w:hAnsi="Cambria"/>
                <w:b w:val="false"/>
                <w:bCs w:val="false"/>
                <w:i w:val="false"/>
                <w:iCs w:val="false"/>
                <w:color w:val="000000"/>
                <w:sz w:val="20"/>
                <w:szCs w:val="20"/>
              </w:rPr>
              <w:t xml:space="preserve">
</w:t>
            </w:r>
            <w:r>
              <w:rPr>
                <w:rFonts w:ascii="Cambria" w:cs="Cambria" w:eastAsia="Cambria" w:hAnsi="Cambria"/>
                <w:b w:val="false"/>
                <w:bCs w:val="false"/>
                <w:i w:val="false"/>
                <w:iCs w:val="false"/>
                <w:strike w:val="false"/>
                <w:color w:val="000000"/>
                <w:sz w:val="20"/>
                <w:szCs w:val="20"/>
              </w:rPr>
              <w:t xml:space="preserve">Tenant Justice Architect</w:t>
            </w:r>
            <w:r>
              <w:rPr>
                <w:rFonts w:ascii="Cambria" w:cs="Cambria" w:eastAsia="Cambria" w:hAnsi="Cambria"/>
                <w:b w:val="false"/>
                <w:bCs w:val="false"/>
                <w:i w:val="false"/>
                <w:iCs w:val="false"/>
                <w:color w:val="000000"/>
                <w:sz w:val="20"/>
                <w:szCs w:val="20"/>
              </w:rPr>
              <w:t xml:space="preserve">
</w:t>
            </w:r>
            <w:r>
              <w:rPr>
                <w:rFonts w:ascii="Cambria" w:cs="Cambria" w:eastAsia="Cambria" w:hAnsi="Cambria"/>
                <w:b w:val="false"/>
                <w:bCs w:val="false"/>
                <w:i w:val="false"/>
                <w:iCs w:val="false"/>
                <w:strike w:val="false"/>
                <w:color w:val="000000"/>
                <w:sz w:val="20"/>
                <w:szCs w:val="20"/>
              </w:rPr>
              <w:t xml:space="preserve">Lexington Flats • Eagan, Minnesota</w:t>
            </w:r>
          </w:p>
        </w:tc>
      </w:tr>
    </w:tbl>
    <w:p>
      <w:pPr>
        <w:spacing w:after="200" w:before="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blHeader w:val="false"/>
        </w:trPr>
        <w:tc>
          <w:tcPr>
            <w:tcW w:type="pct" w:w="100%"/>
            <w:tcMar>
              <w:top w:type="dxa" w:w="90"/>
              <w:left w:type="dxa" w:w="120"/>
              <w:bottom w:type="dxa" w:w="90"/>
              <w:right w:type="dxa" w:w="120"/>
            </w:tcMar>
          </w:tcPr>
          <w:p>
            <w:r>
              <w:rPr>
                <w:b w:val="false"/>
                <w:bCs w:val="false"/>
              </w:rPr>
              <w:t xml:space="preserve"/>
            </w:r>
          </w:p>
        </w:tc>
      </w:tr>
      <w:tr>
        <w:trPr>
          <w:tblHeader w:val="false"/>
        </w:trPr>
        <w:tc>
          <w:tcPr>
            <w:tcW w:type="pct" w:w="10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Date:</w:t>
            </w:r>
            <w:r>
              <w:rPr>
                <w:rFonts w:ascii="Cambria" w:cs="Cambria" w:eastAsia="Cambria" w:hAnsi="Cambria"/>
                <w:b w:val="false"/>
                <w:bCs w:val="false"/>
                <w:i w:val="false"/>
                <w:iCs w:val="false"/>
                <w:strike w:val="false"/>
                <w:color w:val="000000"/>
                <w:sz w:val="20"/>
                <w:szCs w:val="20"/>
              </w:rPr>
              <w:t xml:space="preserve"> April 1, 2026</w:t>
            </w:r>
          </w:p>
        </w:tc>
      </w:tr>
    </w:tbl>
    <w:p>
      <w:pPr>
        <w:spacing w:after="200" w:before="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blHeader w:val="false"/>
        </w:trPr>
        <w:tc>
          <w:tcPr>
            <w:tcW w:type="pct" w:w="100%"/>
            <w:tcMar>
              <w:top w:type="dxa" w:w="90"/>
              <w:left w:type="dxa" w:w="120"/>
              <w:bottom w:type="dxa" w:w="90"/>
              <w:right w:type="dxa" w:w="120"/>
            </w:tcMar>
          </w:tcPr>
          <w:p>
            <w:r>
              <w:rPr>
                <w:b w:val="false"/>
                <w:bCs w:val="false"/>
              </w:rPr>
              <w:t xml:space="preserve"/>
            </w:r>
          </w:p>
        </w:tc>
      </w:tr>
      <w:tr>
        <w:trPr>
          <w:tblHeader w:val="false"/>
        </w:trPr>
        <w:tc>
          <w:tcPr>
            <w:tcW w:type="pct" w:w="10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Version:</w:t>
            </w:r>
            <w:r>
              <w:rPr>
                <w:rFonts w:ascii="Cambria" w:cs="Cambria" w:eastAsia="Cambria" w:hAnsi="Cambria"/>
                <w:b w:val="false"/>
                <w:bCs w:val="false"/>
                <w:i w:val="false"/>
                <w:iCs w:val="false"/>
                <w:strike w:val="false"/>
                <w:color w:val="000000"/>
                <w:sz w:val="20"/>
                <w:szCs w:val="20"/>
              </w:rPr>
              <w:t xml:space="preserve"> 1.0 — Initial Blueprint</w:t>
            </w:r>
          </w:p>
        </w:tc>
      </w:tr>
    </w:tbl>
    <w:p>
      <w:pPr>
        <w:spacing w:after="200" w:before="0"/>
      </w:pPr>
    </w:p>
    <w:p>
      <w:pPr>
        <w:pBdr>
          <w:bottom w:val="single" w:color="000000" w:sz="6"/>
        </w:pBdr>
        <w:spacing w:after="240" w:before="240"/>
      </w:pPr>
    </w:p>
    <w:p>
      <w:pPr>
        <w:spacing w:after="120" w:before="60" w:line="360" w:lineRule="auto"/>
        <w:jc w:val="center"/>
      </w:pPr>
      <w:r>
        <w:rPr>
          <w:rFonts w:ascii="Cambria" w:cs="Cambria" w:eastAsia="Cambria" w:hAnsi="Cambria"/>
          <w:b w:val="false"/>
          <w:bCs w:val="false"/>
          <w:i w:val="false"/>
          <w:iCs w:val="false"/>
          <w:strike w:val="false"/>
          <w:color w:val="000000"/>
          <w:sz w:val="22"/>
          <w:szCs w:val="22"/>
        </w:rPr>
        <w:t xml:space="preserve">Legal Filing System Blueprint v1.0 • Bradley Crowe • April 1, 2026 • CONFIDENTIAL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V6od7TfA4MUjKyXYvNmph</dc:title>
  <dc:creator>Un-named</dc:creator>
  <dc:description>Generated document</dc:description>
  <cp:lastModifiedBy>Un-named</cp:lastModifiedBy>
  <cp:revision>1</cp:revision>
  <dcterms:created xsi:type="dcterms:W3CDTF">2026-04-01T20:42:18.736Z</dcterms:created>
  <dcterms:modified xsi:type="dcterms:W3CDTF">2026-04-01T20:42:18.736Z</dcterms:modified>
</cp:coreProperties>
</file>

<file path=docProps/custom.xml><?xml version="1.0" encoding="utf-8"?>
<Properties xmlns="http://schemas.openxmlformats.org/officeDocument/2006/custom-properties" xmlns:vt="http://schemas.openxmlformats.org/officeDocument/2006/docPropsVTypes"/>
</file>