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b/>
          <w:color w:val="1D3557"/>
          <w:sz w:val="40"/>
        </w:rPr>
        <w:t>Company C</w:t>
      </w:r>
    </w:p>
    <w:p>
      <w:r>
        <w:rPr>
          <w:b/>
          <w:color w:val="B5651D"/>
        </w:rPr>
        <w:t>GLO-BUS weekly report · Year 7 results · StratOS</w:t>
      </w:r>
    </w:p>
    <w:p>
      <w:r>
        <w:rPr>
          <w:i/>
          <w:sz w:val="18"/>
        </w:rPr>
        <w:t>Feedback, not recommendations: this report names the position your inputs reveal and general things to watch. Every decision is your team's. Rival figures come only from the class-wide reports.</w:t>
      </w:r>
    </w:p>
    <w:p>
      <w:r>
        <w:rPr>
          <w:rFonts w:ascii="Cambria" w:hAnsi="Cambria"/>
          <w:b/>
          <w:color w:val="1D3557"/>
          <w:sz w:val="28"/>
        </w:rPr>
        <w:t>1. Your scorecard</w:t>
      </w:r>
    </w:p>
    <w:p>
      <w:r>
        <w:rPr>
          <w:b w:val="0"/>
        </w:rPr>
        <w:t>Rank 2 of 8, overall score 84 (rank 3 last year). Leader: Company D at 86.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Scored measure</w:t>
            </w:r>
          </w:p>
        </w:tc>
        <w:tc>
          <w:tcPr>
            <w:tcW w:type="dxa" w:w="2484"/>
          </w:tcPr>
          <w:p>
            <w:r>
              <w:t>You</w:t>
            </w:r>
          </w:p>
        </w:tc>
        <w:tc>
          <w:tcPr>
            <w:tcW w:type="dxa" w:w="2484"/>
          </w:tcPr>
          <w:p>
            <w:r>
              <w:t>Investor expectation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EPS</w:t>
            </w:r>
          </w:p>
        </w:tc>
        <w:tc>
          <w:tcPr>
            <w:tcW w:type="dxa" w:w="2484"/>
          </w:tcPr>
          <w:p>
            <w:r>
              <w:t>$2.10</w:t>
            </w:r>
          </w:p>
        </w:tc>
        <w:tc>
          <w:tcPr>
            <w:tcW w:type="dxa" w:w="2484"/>
          </w:tcPr>
          <w:p>
            <w:r>
              <w:t>$2.15</w:t>
            </w:r>
          </w:p>
        </w:tc>
        <w:tc>
          <w:tcPr>
            <w:tcW w:type="dxa" w:w="2484"/>
          </w:tcPr>
          <w:p>
            <w:r>
              <w:t>Below</w:t>
            </w:r>
          </w:p>
        </w:tc>
      </w:tr>
      <w:tr>
        <w:tc>
          <w:tcPr>
            <w:tcW w:type="dxa" w:w="2484"/>
          </w:tcPr>
          <w:p>
            <w:r>
              <w:t>ROE</w:t>
            </w:r>
          </w:p>
        </w:tc>
        <w:tc>
          <w:tcPr>
            <w:tcW w:type="dxa" w:w="2484"/>
          </w:tcPr>
          <w:p>
            <w:r>
              <w:t>15.5%</w:t>
            </w:r>
          </w:p>
        </w:tc>
        <w:tc>
          <w:tcPr>
            <w:tcW w:type="dxa" w:w="2484"/>
          </w:tcPr>
          <w:p>
            <w:r>
              <w:t>15.5%</w:t>
            </w:r>
          </w:p>
        </w:tc>
        <w:tc>
          <w:tcPr>
            <w:tcW w:type="dxa" w:w="2484"/>
          </w:tcPr>
          <w:p>
            <w:r>
              <w:t>Met</w:t>
            </w:r>
          </w:p>
        </w:tc>
      </w:tr>
      <w:tr>
        <w:tc>
          <w:tcPr>
            <w:tcW w:type="dxa" w:w="2484"/>
          </w:tcPr>
          <w:p>
            <w:r>
              <w:t>Stock price</w:t>
            </w:r>
          </w:p>
        </w:tc>
        <w:tc>
          <w:tcPr>
            <w:tcW w:type="dxa" w:w="2484"/>
          </w:tcPr>
          <w:p>
            <w:r>
              <w:t>$26.10</w:t>
            </w:r>
          </w:p>
        </w:tc>
        <w:tc>
          <w:tcPr>
            <w:tcW w:type="dxa" w:w="2484"/>
          </w:tcPr>
          <w:p>
            <w:r>
              <w:t>$27.00</w:t>
            </w:r>
          </w:p>
        </w:tc>
        <w:tc>
          <w:tcPr>
            <w:tcW w:type="dxa" w:w="2484"/>
          </w:tcPr>
          <w:p>
            <w:r>
              <w:t>Below</w:t>
            </w:r>
          </w:p>
        </w:tc>
      </w:tr>
      <w:tr>
        <w:tc>
          <w:tcPr>
            <w:tcW w:type="dxa" w:w="2484"/>
          </w:tcPr>
          <w:p>
            <w:r>
              <w:t>Credit rating</w:t>
            </w:r>
          </w:p>
        </w:tc>
        <w:tc>
          <w:tcPr>
            <w:tcW w:type="dxa" w:w="2484"/>
          </w:tcPr>
          <w:p>
            <w:r>
              <w:t>BB-</w:t>
            </w:r>
          </w:p>
        </w:tc>
        <w:tc>
          <w:tcPr>
            <w:tcW w:type="dxa" w:w="2484"/>
          </w:tcPr>
          <w:p>
            <w:r>
              <w:t>BB</w:t>
            </w:r>
          </w:p>
        </w:tc>
        <w:tc>
          <w:tcPr>
            <w:tcW w:type="dxa" w:w="2484"/>
          </w:tcPr>
          <w:p>
            <w:r>
              <w:t>Below</w:t>
            </w:r>
          </w:p>
        </w:tc>
      </w:tr>
      <w:tr>
        <w:tc>
          <w:tcPr>
            <w:tcW w:type="dxa" w:w="2484"/>
          </w:tcPr>
          <w:p>
            <w:r>
              <w:t>Image rating</w:t>
            </w:r>
          </w:p>
        </w:tc>
        <w:tc>
          <w:tcPr>
            <w:tcW w:type="dxa" w:w="2484"/>
          </w:tcPr>
          <w:p>
            <w:r>
              <w:t>71</w:t>
            </w:r>
          </w:p>
        </w:tc>
        <w:tc>
          <w:tcPr>
            <w:tcW w:type="dxa" w:w="2484"/>
          </w:tcPr>
          <w:p>
            <w:r>
              <w:t>72</w:t>
            </w:r>
          </w:p>
        </w:tc>
        <w:tc>
          <w:tcPr>
            <w:tcW w:type="dxa" w:w="2484"/>
          </w:tcPr>
          <w:p>
            <w:r>
              <w:t>Below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309360" cy="1700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0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mbria" w:hAnsi="Cambria"/>
          <w:b/>
          <w:color w:val="1D3557"/>
          <w:sz w:val="28"/>
        </w:rPr>
        <w:t>2. The position you've taken</w:t>
      </w:r>
    </w:p>
    <w:p>
      <w:r>
        <w:rPr>
          <w:b w:val="0"/>
        </w:rPr>
        <w:t xml:space="preserve">Cameras: your inputs look like a </w:t>
      </w:r>
      <w:r>
        <w:rPr>
          <w:b/>
        </w:rPr>
        <w:t>best-cost provider</w:t>
      </w:r>
      <w:r>
        <w:rPr>
          <w:b w:val="0"/>
        </w:rPr>
        <w:t xml:space="preserve"> position (mixed). Price -4.4% vs the industry, P/Q +0.1 stars, cost per unit -4.3%. On the competitor report you sit in the value leader group. That matches the strategy you chose. Best-cost providers offer above-average quality at an average or slightly lower price, so costs must stay tightly controlled to fund both.</w:t>
      </w:r>
    </w:p>
    <w:p>
      <w:r>
        <w:rPr>
          <w:b w:val="0"/>
        </w:rPr>
        <w:t xml:space="preserve">Drones: your inputs look like a </w:t>
      </w:r>
      <w:r>
        <w:rPr>
          <w:b/>
        </w:rPr>
        <w:t>best-cost provider</w:t>
      </w:r>
      <w:r>
        <w:rPr>
          <w:b w:val="0"/>
        </w:rPr>
        <w:t xml:space="preserve"> position (mixed). Price +3.5% vs the industry, P/Q +0.2 stars, cost per unit +0.6%. On the competitor report you sit in the premium differentiator group. You chose differentiation. Best-cost providers offer above-average quality at an average or slightly lower price, so costs must stay tightly controlled to fund both.</w:t>
      </w:r>
    </w:p>
    <w:p>
      <w:r>
        <w:drawing>
          <wp:inline xmlns:a="http://schemas.openxmlformats.org/drawingml/2006/main" xmlns:pic="http://schemas.openxmlformats.org/drawingml/2006/picture">
            <wp:extent cx="6309360" cy="2430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309360" cy="1803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mbria" w:hAnsi="Cambria"/>
          <w:b/>
          <w:color w:val="1D3557"/>
          <w:sz w:val="28"/>
        </w:rPr>
        <w:t>3. Progress</w:t>
      </w:r>
    </w:p>
    <w:p>
      <w:r>
        <w:drawing>
          <wp:inline xmlns:a="http://schemas.openxmlformats.org/drawingml/2006/main" xmlns:pic="http://schemas.openxmlformats.org/drawingml/2006/picture">
            <wp:extent cx="6309360" cy="1700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0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mbria" w:hAnsi="Cambria"/>
          <w:b/>
          <w:color w:val="1D3557"/>
          <w:sz w:val="28"/>
        </w:rPr>
        <w:t>4. Where you stand in the contest</w:t>
      </w:r>
    </w:p>
    <w:p>
      <w:r>
        <w:drawing>
          <wp:inline xmlns:a="http://schemas.openxmlformats.org/drawingml/2006/main" xmlns:pic="http://schemas.openxmlformats.org/drawingml/2006/picture">
            <wp:extent cx="6309360" cy="1943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</w:r>
      <w:r>
        <w:rPr>
          <w:b/>
        </w:rPr>
        <w:t>What rivals changed since last year</w:t>
      </w:r>
      <w:r>
        <w:rPr>
          <w:b w:val="0"/>
        </w:rPr>
        <w:t xml:space="preserve"> (from the competitor report):</w:t>
      </w:r>
    </w:p>
    <w:p>
      <w:pPr>
        <w:pStyle w:val="ListBullet"/>
      </w:pPr>
      <w:r>
        <w:t>Company F (drones): price +3.5%, P/Q -0.1 stars, share +0.3 points; now in the low-cost / economy group.</w:t>
      </w:r>
    </w:p>
    <w:p>
      <w:pPr>
        <w:pStyle w:val="ListBullet"/>
      </w:pPr>
      <w:r>
        <w:t>Company D (drones): price -2.7%, P/Q +0.1 stars, share +1.3 points; now in the premium differentiator group.</w:t>
      </w:r>
    </w:p>
    <w:p>
      <w:pPr>
        <w:pStyle w:val="ListBullet"/>
      </w:pPr>
      <w:r>
        <w:t>Company F (cameras): price +3.6%, P/Q +0.0 stars, share +0.4 points; now in the low-cost / economy group.</w:t>
      </w:r>
    </w:p>
    <w:p>
      <w:pPr>
        <w:pStyle w:val="ListBullet"/>
      </w:pPr>
      <w:r>
        <w:t>Company D (cameras): price -2.9%, P/Q -0.0 stars, share +0.3 points; now in the premium differentiator group.</w:t>
      </w:r>
    </w:p>
    <w:p>
      <w:pPr>
        <w:pStyle w:val="ListBullet"/>
      </w:pPr>
      <w:r>
        <w:t>Company E (drones): price -1.7%, P/Q +0.0 stars, share -0.9 points; now in the low-cost / economy group.</w:t>
      </w:r>
    </w:p>
    <w:p>
      <w:r>
        <w:rPr>
          <w:rFonts w:ascii="Cambria" w:hAnsi="Cambria"/>
          <w:b/>
          <w:color w:val="1D3557"/>
          <w:sz w:val="28"/>
        </w:rPr>
        <w:t>5. What to look out for next round</w:t>
      </w:r>
    </w:p>
    <w:p>
      <w:pPr>
        <w:pStyle w:val="ListBullet"/>
      </w:pPr>
      <w:r>
        <w:rPr>
          <w:b/>
        </w:rPr>
        <w:t xml:space="preserve">Drones: the position your inputs show differs from the strategy you chose. </w:t>
      </w:r>
      <w:r>
        <w:t xml:space="preserve">You chose differentiation; price +3.5% vs the industry and P/Q +0.2 stars put you closer to best-cost provider. </w:t>
      </w:r>
      <w:r>
        <w:rPr>
          <w:i/>
        </w:rPr>
        <w:t>Teams that drift between positions usually pay for both and get credit for neither. Decide whether the drift is deliberate.</w:t>
      </w:r>
    </w:p>
    <w:p>
      <w:pPr>
        <w:pStyle w:val="ListBullet"/>
      </w:pPr>
      <w:r>
        <w:rPr>
          <w:b/>
        </w:rPr>
        <w:t xml:space="preserve">EPS below investor expectations. </w:t>
      </w:r>
      <w:r>
        <w:t xml:space="preserve">EPS: $2.10 against an expectation of $2.15. </w:t>
      </w:r>
      <w:r>
        <w:rPr>
          <w:i/>
        </w:rPr>
        <w:t>EPS is scored directly; it reflects price, cost and volume together, so look for which of the three moved against you.</w:t>
      </w:r>
    </w:p>
    <w:p>
      <w:pPr>
        <w:pStyle w:val="ListBullet"/>
      </w:pPr>
      <w:r>
        <w:rPr>
          <w:b/>
        </w:rPr>
        <w:t xml:space="preserve">Credit rating below investor expectations. </w:t>
      </w:r>
      <w:r>
        <w:t xml:space="preserve">Credit rating: BB- against an expectation of BB. </w:t>
      </w:r>
      <w:r>
        <w:rPr>
          <w:i/>
        </w:rPr>
        <w:t>Credit rating follows debt, interest coverage and cash; it also affects borrowing costs.</w:t>
      </w:r>
    </w:p>
    <w:p>
      <w:pPr>
        <w:pStyle w:val="ListBullet"/>
      </w:pPr>
      <w:r>
        <w:rPr>
          <w:b/>
        </w:rPr>
        <w:t xml:space="preserve">Image rating below investor expectations. </w:t>
      </w:r>
      <w:r>
        <w:t xml:space="preserve">Image rating: 71 against an expectation of 72. </w:t>
      </w:r>
      <w:r>
        <w:rPr>
          <w:i/>
        </w:rPr>
        <w:t>Image rating builds slowly from P/Q, models, warranty, advertising and CSR; it is hard to recover quickly once it falls behind.</w:t>
      </w:r>
    </w:p>
    <w:p>
      <w:r>
        <w:rPr>
          <w:rFonts w:ascii="Cambria" w:hAnsi="Cambria"/>
          <w:b/>
          <w:color w:val="1D3557"/>
          <w:sz w:val="28"/>
        </w:rPr>
        <w:t>6. Questions for your team</w:t>
      </w:r>
    </w:p>
    <w:p>
      <w:pPr>
        <w:pStyle w:val="ListNumber"/>
      </w:pPr>
      <w:r>
        <w:t>Is the drones position your inputs now show the one you meant to build?</w:t>
      </w:r>
    </w:p>
    <w:p>
      <w:pPr>
        <w:pStyle w:val="ListNumber"/>
      </w:pPr>
      <w:r>
        <w:t>Which input did you change most this year, and did the result move the way the projections said?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