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DRAFT ASSET PURCHASE AGREEMENT</w:t>
      </w:r>
    </w:p>
    <w:p>
      <w:r>
        <w:rPr>
          <w:i/>
          <w:color w:val="64748B"/>
          <w:sz w:val="22"/>
        </w:rPr>
        <w:t>Apex Precision Dynamics, Inc. • Proposed Repricing &amp; Escrow Protection Levers • February 2026</w:t>
      </w:r>
    </w:p>
    <w:p>
      <w:pPr>
        <w:spacing w:after="240"/>
      </w:pPr>
    </w:p>
    <w:p>
      <w:pPr>
        <w:pStyle w:val="Heading1"/>
      </w:pPr>
      <w:r>
        <w:t>1. Valuation Reprice &amp; Negotiation Rationale</w:t>
      </w:r>
    </w:p>
    <w:p>
      <w:r>
        <w:t>• Original Letter of Intent Enterprise Value: $15,750,000 (based on seller-claimed $3.15M EBITDA at 5.0x)</w:t>
        <w:br/>
        <w:t>• Buyer-Supported Revised Enterprise Value: $12,100,000 (based on verified $2.42M EBITDA at 5.0x)</w:t>
        <w:br/>
        <w:t>• Recommended Purchase Price Reduction: -$3,650,000 (-23.2% downward adjustment)</w:t>
        <w:br/>
        <w:t>• Special Escrow Holdback: $1,500,000 indemnity escrow tied to VanArsdel Aerostructures Tier-1 contract renewal in Q4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