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E3A8A"/>
          <w:sz w:val="36"/>
        </w:rPr>
        <w:t>BINDING LETTER OF INTENT FOR ASSET PURCHASE</w:t>
      </w:r>
    </w:p>
    <w:p>
      <w:r>
        <w:rPr>
          <w:rFonts w:ascii="Calibri" w:hAnsi="Calibri"/>
          <w:i/>
          <w:color w:val="64748B"/>
          <w:sz w:val="21"/>
        </w:rPr>
        <w:t>Transaction Agreement by and between Apex Buyout Partners and Atlantic Beverage &amp; Bottling Corp</w:t>
      </w:r>
    </w:p>
    <w:p>
      <w:pPr>
        <w:spacing w:after="120"/>
      </w:pPr>
    </w:p>
    <w:p>
      <w:pPr>
        <w:pStyle w:val="Heading2"/>
        <w:spacing w:before="240" w:after="60"/>
      </w:pPr>
      <w:r>
        <w:rPr>
          <w:rFonts w:ascii="Calibri" w:hAnsi="Calibri"/>
          <w:color w:val="0F172A"/>
        </w:rPr>
        <w:t>SECTION 1. PURCHASE PRICE AND ENTERPRISE VALUATION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1.1 Total Purchase Price: The Buyer agrees to acquire substantially all operating assets of Atlantic Beverage &amp; Bottling Corp for a total enterprise purchase price of $18,500,000 (Eighteen Million Five Hundred Thousand USD).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1.2 Valuation Basis: The purchase price is calculated as a 5.07x multiple applied to the agreed Normalized EBITDA of $3,650,000 for the trailing twelve-month period ending December 31, 2025.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1.3 Working Capital Adjustment: The purchase price includes a Target Net Working Capital peg of $2,840,000. At closing, the purchase price shall be adjusted dollar-for-dollar for any variance between the estimated closing NWC and the agreed target.</w:t>
      </w:r>
    </w:p>
    <w:p>
      <w:pPr>
        <w:pStyle w:val="Heading2"/>
        <w:spacing w:before="240" w:after="60"/>
      </w:pPr>
      <w:r>
        <w:rPr>
          <w:rFonts w:ascii="Calibri" w:hAnsi="Calibri"/>
          <w:color w:val="0F172A"/>
        </w:rPr>
        <w:t>SECTION 2. CONSIDERATION AT CLOSING &amp; ESCROW TERMS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2.1 Cash Consideration: At closing, Buyer shall deliver $17,000,000 in immediate cash via federal wire transfer.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2.2 Seller Subordinated Note: Seller shall accept a $1,000,000 subordinated promissory note carrying 6.0% annual interest with quarterly amortization over a 36-month term.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2.3 Indemnity Escrow Deposit: An indemnity escrow of $500,000 (five hundred thousand USD) shall be funded from gross transaction proceeds and deposited with an independent escrow agent for a period of twelve (12) months to secure standard representations, warranties, and tax indemnifications.</w:t>
      </w:r>
    </w:p>
    <w:p>
      <w:pPr>
        <w:pStyle w:val="Heading2"/>
        <w:spacing w:before="240" w:after="60"/>
      </w:pPr>
      <w:r>
        <w:rPr>
          <w:rFonts w:ascii="Calibri" w:hAnsi="Calibri"/>
          <w:color w:val="0F172A"/>
        </w:rPr>
        <w:t>SECTION 3. TRANSITION SERVICES &amp; NON-COMPETITION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3.1 Founder Transition Agreement: The founder and Chief Executive Officer shall execute a 12-month Transition Services Agreement (TSA) at an agreed market salary of $180,000 per annum to oversee route logistics continuity.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3.2 Non-Compete Covenant: Seller and key equity holders shall execute a 5-year, 150-mile geographic non-competition and non-solicitation agreement covering commercial beverage bottling and DSD distribution.</w:t>
      </w:r>
    </w:p>
    <w:p>
      <w:pPr>
        <w:pStyle w:val="Heading2"/>
        <w:spacing w:before="240" w:after="60"/>
      </w:pPr>
      <w:r>
        <w:rPr>
          <w:rFonts w:ascii="Calibri" w:hAnsi="Calibri"/>
          <w:color w:val="0F172A"/>
        </w:rPr>
        <w:t>SECTION 4. EXCLUSIVITY AND CONFIRMATORY DILIGENCE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4.1 Exclusivity: In consideration of Buyer incurring substantial legal, accounting, and environmental due diligence expenses, Seller agrees to grant Buyer sixty (60) days of strict exclusivity from the execution date hereof.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4.2 Access to Books and Records: Seller shall grant Buyer and its authorized representatives unrestricted access during normal business hours to all financial records, route delivery tracking data, customer contracts, and employee personnel files.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