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3A8A"/>
          <w:sz w:val="36"/>
        </w:rPr>
        <w:t>CONFIDENTIAL LEGAL DISCLOSURE: EPA SUPERFUND CONSENT DECREE</w:t>
      </w:r>
    </w:p>
    <w:p>
      <w:r>
        <w:rPr>
          <w:rFonts w:ascii="Calibri" w:hAnsi="Calibri"/>
          <w:i/>
          <w:color w:val="64748B"/>
          <w:sz w:val="21"/>
        </w:rPr>
        <w:t>United States District Court — Civil Action No. 25-CV-8891-EPA</w:t>
      </w:r>
    </w:p>
    <w:p>
      <w:pPr>
        <w:spacing w:after="120"/>
      </w:pPr>
    </w:p>
    <w:p>
      <w:pPr>
        <w:pStyle w:val="Heading2"/>
        <w:spacing w:before="240" w:after="60"/>
      </w:pPr>
      <w:r>
        <w:rPr>
          <w:rFonts w:ascii="Calibri" w:hAnsi="Calibri"/>
          <w:color w:val="0F172A"/>
        </w:rPr>
        <w:t>SECTION 1. NATURE OF FEDERAL ENFORCEMENT ACTION</w:t>
      </w:r>
    </w:p>
    <w:p>
      <w:pPr>
        <w:spacing w:after="100"/>
      </w:pPr>
      <w:r>
        <w:rPr>
          <w:rFonts w:ascii="Calibri" w:hAnsi="Calibri"/>
          <w:color w:val="334155"/>
          <w:sz w:val="19"/>
        </w:rPr>
        <w:t>The United States Environmental Protection Agency (EPA), in conjunction with the United States Department of Justice (DOJ), entered a formal Consent Decree on October 14, 2025, against TerraClean Industrial Waste Solutions LLC under Section 106 and 107 of the Comprehensive Environmental Response, Compensation, and Liability Act (CERCLA), 42 U.S.C. §§ 9606, 9607.</w:t>
      </w:r>
    </w:p>
    <w:p>
      <w:pPr>
        <w:spacing w:after="100"/>
      </w:pPr>
      <w:r>
        <w:rPr>
          <w:rFonts w:ascii="Calibri" w:hAnsi="Calibri"/>
          <w:color w:val="334155"/>
          <w:sz w:val="19"/>
        </w:rPr>
        <w:t>TerraClean is subject to an active $4,200,000 joint and several remediation obligation for soil and groundwater chlorinated solvent contamination at the Newark Treatment Facility.</w:t>
      </w:r>
    </w:p>
    <w:p>
      <w:pPr>
        <w:pStyle w:val="Heading2"/>
        <w:spacing w:before="240" w:after="60"/>
      </w:pPr>
      <w:r>
        <w:rPr>
          <w:rFonts w:ascii="Calibri" w:hAnsi="Calibri"/>
          <w:color w:val="0F172A"/>
        </w:rPr>
        <w:t>SECTION 2. STATE OPERATING PERMIT REVOCATION WARNING</w:t>
      </w:r>
    </w:p>
    <w:p>
      <w:pPr>
        <w:spacing w:after="100"/>
      </w:pPr>
      <w:r>
        <w:rPr>
          <w:rFonts w:ascii="Calibri" w:hAnsi="Calibri"/>
          <w:color w:val="334155"/>
          <w:sz w:val="19"/>
        </w:rPr>
        <w:t>The State Department of Environmental Protection issued a 60-day Notice of Intent to Revoke Part B Hazardous Waste Storage and Treatment Permit #HW-00921 on December 1, 2025, citing repeated secondary containment lining failures.</w:t>
      </w:r>
    </w:p>
    <w:p>
      <w:pPr>
        <w:spacing w:after="100"/>
      </w:pPr>
      <w:r>
        <w:rPr>
          <w:rFonts w:ascii="Calibri" w:hAnsi="Calibri"/>
          <w:color w:val="334155"/>
          <w:sz w:val="19"/>
        </w:rPr>
        <w:t>Failure to cure will result in immediate facility closure and revocation of operational licenses by March 31, 2026.</w:t>
      </w:r>
    </w:p>
    <w:p>
      <w:pPr>
        <w:pStyle w:val="Heading2"/>
        <w:spacing w:before="240" w:after="60"/>
      </w:pPr>
      <w:r>
        <w:rPr>
          <w:rFonts w:ascii="Calibri" w:hAnsi="Calibri"/>
          <w:color w:val="0F172A"/>
        </w:rPr>
        <w:t>SECTION 3. SUCCESSOR LIABILITY AND BUYER WARNING</w:t>
      </w:r>
    </w:p>
    <w:p>
      <w:pPr>
        <w:spacing w:after="100"/>
      </w:pPr>
      <w:r>
        <w:rPr>
          <w:rFonts w:ascii="Calibri" w:hAnsi="Calibri"/>
          <w:color w:val="334155"/>
          <w:sz w:val="19"/>
        </w:rPr>
        <w:t>Under federal CERCLA statutes, any purchaser of company assets will assume strict, joint, and several successor liability for all environmental contamination. The transaction presents insurmountable insolvency risk. WALK AWAY IMMEDIATELY.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