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CONFIDENTIAL INFORMATION MEMORANDUM</w:t>
      </w:r>
    </w:p>
    <w:p>
      <w:r>
        <w:rPr>
          <w:i/>
          <w:color w:val="64748B"/>
          <w:sz w:val="22"/>
        </w:rPr>
        <w:t>Vanguard Medical Logistics, LLC • Executive Summary &amp; Due Diligence Teaser • February 2026</w:t>
      </w:r>
    </w:p>
    <w:p>
      <w:pPr>
        <w:spacing w:after="240"/>
      </w:pPr>
    </w:p>
    <w:p>
      <w:pPr>
        <w:pStyle w:val="Heading1"/>
      </w:pPr>
      <w:r>
        <w:t>1. Executive Overview &amp; Investment Highlights</w:t>
      </w:r>
    </w:p>
    <w:p>
      <w:r>
        <w:t>Vanguard Medical Logistics, LLC is a specialized, temperature-controlled specimen courier and medical logistics provider serving regional hospital networks, clinical diagnostic laboratories, and pathology clinics across the Mid-Atlantic region. Operating a dedicated fleet of 42 dual-zone refrigerated vehicles with 24/7 GPS temperature telemetry, Vanguard maintains long-term master service agreements (MSAs) with zero customer churn over the past 36 months.</w:t>
      </w:r>
    </w:p>
    <w:p>
      <w:pPr>
        <w:pStyle w:val="Heading2"/>
      </w:pPr>
      <w:r>
        <w:t>2. Financial Summary (Verified TTM)</w:t>
      </w:r>
    </w:p>
    <w:p>
      <w:r>
        <w:t>• TTM Verified Revenue: $8,450,000 (14.2% YoY growth from $7,400,000 in FY2024)</w:t>
        <w:br/>
        <w:t>• TTM Reported EBITDA: $1,920,000 (22.7% margin)</w:t>
        <w:br/>
        <w:t>• TTM Normalized Adjusted EBITDA: $2,100,000 (24.9% margin)</w:t>
        <w:br/>
        <w:t>• Debt Service Coverage Ratio (DSCR): 1.78x at proposed 75% LTV senior debt structure</w:t>
        <w:br/>
        <w:t>• Active Contracts: 82 clinical MSAs with 98.4% recurring monthly billing</w:t>
      </w:r>
    </w:p>
    <w:p>
      <w:pPr>
        <w:pStyle w:val="Heading2"/>
      </w:pPr>
      <w:r>
        <w:t>3. Verified Add-Back Bridge</w:t>
      </w:r>
    </w:p>
    <w:p>
      <w:r>
        <w:t>• Officer Compensation Normalization: +$180,000 (Current owner draws $360,000 total comp; market replacement General Manager salary is $180,000 with vetted candidate in place).</w:t>
        <w:br/>
        <w:t>• Total Normalization: $180,000, bringing baseline EBITDA of $1,920,000 to $2,100,000.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