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CONFIDENTIAL LEGAL &amp; REGULATORY DISCLOSURES</w:t>
      </w:r>
    </w:p>
    <w:p>
      <w:r>
        <w:rPr>
          <w:i/>
          <w:color w:val="64748B"/>
          <w:sz w:val="22"/>
        </w:rPr>
        <w:t>TerraNova Environmental Hauling, LLC • EPA Superfund Lien &amp; Environmental Enforcement Notice • February 2026</w:t>
      </w:r>
    </w:p>
    <w:p>
      <w:pPr>
        <w:spacing w:after="240"/>
      </w:pPr>
    </w:p>
    <w:p>
      <w:pPr>
        <w:pStyle w:val="Heading1"/>
      </w:pPr>
      <w:r>
        <w:t>1. Notice of Environmental Violation &amp; Federal Consent Decree</w:t>
      </w:r>
    </w:p>
    <w:p>
      <w:r>
        <w:t>• Enforcement Agency: US Environmental Protection Agency (EPA Region III)</w:t>
        <w:br/>
        <w:t>• Violation Notice: Unpermitted discharge of hazardous industrial solvents at Transfer Station Site 4 (Delaware Basin).</w:t>
        <w:br/>
        <w:t>• Mandatory Remediation Fine &amp; Superfund Assessment: $2,400,000 outstanding penalty with primary environmental lien attached to company operating assets.</w:t>
        <w:br/>
        <w:t>• Legal Status: Active federal consent decree requiring immediate $1.8M escrow deposit. Omitted by seller in data room disclosure schedule.</w:t>
      </w:r>
    </w:p>
    <w:p>
      <w:pPr>
        <w:pStyle w:val="Heading1"/>
      </w:pPr>
      <w:r>
        <w:t>2. Investment Committee Recommendation: IMMEDIATE WALK AWAY</w:t>
      </w:r>
    </w:p>
    <w:p>
      <w:r>
        <w:t>• Severe intentional financial misrepresentation ($6.6M fake billing fraud).</w:t>
        <w:br/>
        <w:t>• True operations generate -$410k annual cash loss (insolvent).</w:t>
        <w:br/>
        <w:t>• $2.4M catastrophic environmental Superfund liability attaches to successor purchaser under CERCLA.</w:t>
        <w:br/>
        <w:t>• VERDICT: WALK AWAY / ESCALATE TO FRAUD COUNSEL.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