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40"/>
        </w:rPr>
        <w:t>LETTER OF INTENT (EXECUTED)</w:t>
      </w:r>
    </w:p>
    <w:p>
      <w:r>
        <w:rPr>
          <w:i/>
          <w:color w:val="64748B"/>
          <w:sz w:val="22"/>
        </w:rPr>
        <w:t>Vanguard Medical Logistics, LLC • Binding Exclusivity &amp; Acquisition Terms • February 2026</w:t>
      </w:r>
    </w:p>
    <w:p>
      <w:pPr>
        <w:spacing w:after="240"/>
      </w:pPr>
    </w:p>
    <w:p>
      <w:pPr>
        <w:pStyle w:val="Heading1"/>
      </w:pPr>
      <w:r>
        <w:t>1. Transaction Valuation &amp; Consideration Structure</w:t>
      </w:r>
    </w:p>
    <w:p>
      <w:r>
        <w:t>• Enterprise Value (Headline Purchase Price): $8,400,000 (4.00x Verified Adjusted EBITDA of $2,100,000)</w:t>
        <w:br/>
        <w:t>• Cash at Closing: $6,720,000 (80.0% funded via senior debt and equity)</w:t>
        <w:br/>
        <w:t>• Seller Promissory Note: $840,000 (10.0%, 5-year term at 7.0% SOFR-indexed interest)</w:t>
        <w:br/>
        <w:t>• Indemnity Escrow Holdback: $840,000 (10.0%, 18-month release subject to standard reps/warranties)</w:t>
      </w:r>
    </w:p>
    <w:p>
      <w:pPr>
        <w:pStyle w:val="Heading1"/>
      </w:pPr>
      <w:r>
        <w:t>2. Working Capital &amp; Closing Conditions</w:t>
      </w:r>
    </w:p>
    <w:p>
      <w:r>
        <w:t>• Target Net Working Capital (NWC Peg): $920,000 based on trailing 12-month average accounts receivable and payables.</w:t>
        <w:br/>
        <w:t>• Key Employment Agreement: Seller agreed to 12-month transition leadership with successor GM already onboarded.</w:t>
        <w:br/>
        <w:t>• Status: Clean title, zero active litigation, 100% EPA and DOT hazmat compliant.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