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0"/>
        </w:rPr>
        <w:t>CONFIDENTIAL INFORMATION MEMORANDUM</w:t>
      </w:r>
    </w:p>
    <w:p>
      <w:r>
        <w:rPr>
          <w:i/>
          <w:color w:val="64748B"/>
          <w:sz w:val="22"/>
        </w:rPr>
        <w:t>Apex Precision Dynamics, Inc. • Aerospace CNC &amp; Flow Control Components • February 2026</w:t>
      </w:r>
    </w:p>
    <w:p>
      <w:pPr>
        <w:spacing w:after="240"/>
      </w:pPr>
    </w:p>
    <w:p>
      <w:pPr>
        <w:pStyle w:val="Heading1"/>
      </w:pPr>
      <w:r>
        <w:t>1. Executive Teaser &amp; Claimed Performance</w:t>
      </w:r>
    </w:p>
    <w:p>
      <w:r>
        <w:t>Apex Precision Dynamics, Inc. is an AS9100D certified precision manufacturer supplying high-tolerance valve components for aerospace defense systems and commercial aviation. Seller claims exceptional profitability driven by high technical barriers to entry.</w:t>
      </w:r>
    </w:p>
    <w:p>
      <w:pPr>
        <w:pStyle w:val="Heading2"/>
      </w:pPr>
      <w:r>
        <w:t>2. Financial Overview (Seller Adjusted Claims)</w:t>
      </w:r>
    </w:p>
    <w:p>
      <w:r>
        <w:t>• Claimed TTM Revenue: $12,300,000</w:t>
        <w:br/>
        <w:t>• Claimed TTM Adjusted EBITDA: $3,150,000 (25.6% margin)</w:t>
        <w:br/>
        <w:t>• Initial LOI Valuation: $15,750,000 (5.00x claimed Adjusted EBITDA)</w:t>
        <w:br/>
        <w:t>• Core Customer: Prime tier-1 defense contractor representing 44.5% of total annual billings.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