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0"/>
        </w:rPr>
        <w:t>ACQUISITION TEASER &amp; SUMMARY CIM</w:t>
      </w:r>
    </w:p>
    <w:p>
      <w:r>
        <w:rPr>
          <w:i/>
          <w:color w:val="64748B"/>
          <w:sz w:val="22"/>
        </w:rPr>
        <w:t>TerraNova Environmental Hauling, LLC • Commercial Waste Hauling &amp; Hazardous Remediation • February 2026</w:t>
      </w:r>
    </w:p>
    <w:p>
      <w:pPr>
        <w:spacing w:after="240"/>
      </w:pPr>
    </w:p>
    <w:p>
      <w:pPr>
        <w:pStyle w:val="Heading1"/>
      </w:pPr>
      <w:r>
        <w:t>1. Fraudulent Seller Claims vs Audited Reality</w:t>
      </w:r>
    </w:p>
    <w:p>
      <w:r>
        <w:t>Seller teaser claims TerraNova Environmental Hauling, LLC is an industry-leading environmental remediation contractor generating $14,800,000 in revenue with $3,400,000 in adjusted EBITDA across 8 commercial transfer stations.</w:t>
      </w:r>
    </w:p>
    <w:p>
      <w:pPr>
        <w:pStyle w:val="Heading2"/>
      </w:pPr>
      <w:r>
        <w:t>2. Audit Discrepancies &amp; Fatal Red Flags</w:t>
      </w:r>
    </w:p>
    <w:p>
      <w:r>
        <w:t>• Claimed Revenue: $14,800,000 vs Actual Bank Verified Revenue: $8,200,000 ($6,600,000 fabricated billings)</w:t>
        <w:br/>
        <w:t>• Claimed EBITDA: $3,400,000 vs Actual Operating Loss: -$410,000</w:t>
        <w:br/>
        <w:t>• Unrecorded Liabilities: $2,400,000 active EPA Superfund clean-up consent decree omitted from disclosure schedules</w:t>
        <w:br/>
        <w:t>• Bad Debt: $3,120,000 in accounts receivable &gt;120 days past due from defunct industrial clients</w:t>
        <w:br/>
        <w:t>• Solvency &amp; DSCR: Severe insolvency (DSCR 0.42x), debt default imminent.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