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2"/>
        </w:rPr>
        <w:t>CONFIDENTIAL BUSINESS REVIEW &amp; ACQUISITION TEASER</w:t>
      </w:r>
    </w:p>
    <w:p>
      <w:pPr>
        <w:jc w:val="center"/>
      </w:pPr>
      <w:r>
        <w:rPr>
          <w:rFonts w:ascii="Arial" w:hAnsi="Arial"/>
          <w:i/>
          <w:sz w:val="24"/>
        </w:rPr>
        <w:t>Project Thermal: Premier Commercial &amp; Industrial HVAC Services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Executive Summary &amp; Company Profile</w:t>
      </w:r>
    </w:p>
    <w:p>
      <w:r>
        <w:t>Precision Air &amp; Thermal Solutions, LLC is a leading provider of scheduled commercial HVAC maintenance, industrial refrigeration, and building automation retrofits across the Dallas-Fort Worth metroplex. The business maintains a loyal base of recurring contract revenue with commercial property managers and municipal facilities.</w:t>
      </w:r>
    </w:p>
    <w:p>
      <w:pPr>
        <w:pStyle w:val="Heading2"/>
      </w:pPr>
      <w:r>
        <w:t>2. Transaction &amp; Asking Price</w:t>
      </w:r>
    </w:p>
    <w:p>
      <w:r>
        <w:t>Company Name: Precision Air &amp; Thermal Solutions, LLC</w:t>
      </w:r>
    </w:p>
    <w:p>
      <w:r>
        <w:t>Industry: Commercial &amp; Industrial HVAC Maintenance</w:t>
      </w:r>
    </w:p>
    <w:p>
      <w:r>
        <w:t>Asking Price: $4,250,000</w:t>
      </w:r>
    </w:p>
    <w:p>
      <w:r>
        <w:t>Seller Financing / Seller Note: $425,000 (10% of purchase price at 7.5% interest rate over 5 years)</w:t>
      </w:r>
    </w:p>
    <w:p>
      <w:r>
        <w:t>Down Payment / Equity Contribution: 15% ($637,500)</w:t>
      </w:r>
    </w:p>
    <w:p>
      <w:pPr>
        <w:pStyle w:val="Heading2"/>
      </w:pPr>
      <w:r>
        <w:t>3. Financial Overview (2024 TTM)</w:t>
      </w:r>
    </w:p>
    <w:p>
      <w:r>
        <w:t>Annual Revenue (TTM): $5,800,000</w:t>
      </w:r>
    </w:p>
    <w:p>
      <w:r>
        <w:t>Reported EBITDA: $1,150,000</w:t>
      </w:r>
    </w:p>
    <w:p>
      <w:r>
        <w:t>Gross Margin: 44.5%</w:t>
      </w:r>
    </w:p>
    <w:p>
      <w:r>
        <w:t>Owner Compensation / Active Executive Salary: $250,000</w:t>
      </w:r>
    </w:p>
    <w:p>
      <w:r>
        <w:t>Disallowed Add-Backs / Discretionary Perks: $85,000 (Personal vehicle lease &amp; owner travel expenses)</w:t>
      </w:r>
    </w:p>
    <w:p>
      <w:pPr>
        <w:pStyle w:val="Heading2"/>
      </w:pPr>
      <w:r>
        <w:t>4. Operational &amp; Balance Sheet Highlights</w:t>
      </w:r>
    </w:p>
    <w:p>
      <w:r>
        <w:t>Full-Time Employees (Headcount): 28 licensed technicians and dispatchers</w:t>
      </w:r>
    </w:p>
    <w:p>
      <w:r>
        <w:t>Top Customer Concentration: 14% of annual billings</w:t>
      </w:r>
    </w:p>
    <w:p>
      <w:r>
        <w:t>Equipment &amp; Service Fleet: $650,000 (22 fully outfitted Ford Transit service vans and specialized diagnostic tools)</w:t>
      </w:r>
    </w:p>
    <w:p>
      <w:r>
        <w:t>Accounts Receivable: $480,000</w:t>
      </w:r>
    </w:p>
    <w:p>
      <w:r>
        <w:t>Inventory (Replacement parts &amp; coils): $175,000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