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4C81"/>
          <w:sz w:val="32"/>
        </w:rPr>
        <w:t>CONFIDENTIAL CIM EXECUTIVE SUMMARY</w:t>
      </w:r>
    </w:p>
    <w:p>
      <w:pPr>
        <w:jc w:val="center"/>
      </w:pPr>
      <w:r>
        <w:rPr>
          <w:rFonts w:ascii="Calibri" w:hAnsi="Calibri"/>
          <w:sz w:val="22"/>
        </w:rPr>
        <w:t>Project CloudFlow: B2B Enterprise Workflow &amp; Compliance SaaS</w:t>
      </w:r>
    </w:p>
    <w:p>
      <w:r>
        <w:t>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Business Overview</w:t>
      </w:r>
    </w:p>
    <w:p>
      <w:r>
        <w:t>CloudFlow Systems, Inc. develops multi-tenant workflow automation and regulatory audit compliance software for regional financial institutions and healthcare compliance officers. Over 94% of revenue is contracted ARR.</w:t>
      </w:r>
    </w:p>
    <w:p>
      <w:pPr>
        <w:pStyle w:val="Heading2"/>
      </w:pPr>
      <w:r>
        <w:t>Key Diligence &amp; Financial Metrics</w:t>
      </w:r>
    </w:p>
    <w:p>
      <w:r>
        <w:t>Company Name: CloudFlow Systems, Inc.</w:t>
      </w:r>
    </w:p>
    <w:p>
      <w:r>
        <w:t>Industry: B2B Cloud Software / SaaS</w:t>
      </w:r>
    </w:p>
    <w:p>
      <w:r>
        <w:t>Asking Price: $8,500,000</w:t>
      </w:r>
    </w:p>
    <w:p>
      <w:r>
        <w:t>Annual Revenue / ARR: $3,200,000</w:t>
      </w:r>
    </w:p>
    <w:p>
      <w:r>
        <w:t>Gross Margin: 82%</w:t>
      </w:r>
    </w:p>
    <w:p>
      <w:r>
        <w:t>Reported EBITDA: $640,000</w:t>
      </w:r>
    </w:p>
    <w:p>
      <w:r>
        <w:t>Employees: 14 full-time engineers and customer success specialists</w:t>
      </w:r>
    </w:p>
    <w:p>
      <w:r>
        <w:t>Top Customer Concentration: 8.5% of total ARR</w:t>
      </w:r>
    </w:p>
    <w:p>
      <w:r>
        <w:t>Annual Revenue Growth: 28% YoY</w:t>
      </w:r>
    </w:p>
    <w:p>
      <w:r>
        <w:t>Owner Compensation: $180,000</w:t>
      </w:r>
    </w:p>
    <w:p>
      <w:r>
        <w:t>Key Risk: Founder active in enterprise sales leadership; transition plan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