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CONFIDENTIAL ACQUISITION OPPORTUNITY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Business: High-Traffic Specialty Retail &amp; Home Goods</w:t>
      </w:r>
    </w:p>
    <w:p>
      <w:r>
        <w:t>Location: Suburban Atlanta, GA</w:t>
      </w:r>
    </w:p>
    <w:p>
      <w:r>
        <w:t>Asking Price: $1,500,000</w:t>
      </w:r>
    </w:p>
    <w:p>
      <w:r>
        <w:t>Annual Revenue: $2,100,000</w:t>
      </w:r>
    </w:p>
    <w:p>
      <w:r>
        <w:t>Note: Owner has not provided formal P&amp;L statements yet. Cash flow is described as very high.</w:t>
      </w:r>
    </w:p>
    <w:p>
      <w:r>
        <w:t>Inventory: Approximately $120,000 included in asking price.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