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Perform</w:t>
      </w:r>
      <w:r w:rsidDel="00000000" w:rsidR="00000000" w:rsidRPr="00000000">
        <w:rPr>
          <w:rFonts w:ascii="Google Sans" w:cs="Google Sans" w:eastAsia="Google Sans" w:hAnsi="Google Sans"/>
          <w:color w:val="434343"/>
          <w:sz w:val="24"/>
          <w:szCs w:val="24"/>
          <w:rtl w:val="0"/>
        </w:rPr>
        <w:t xml:space="preserve">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hyperlink r:id="rId8">
        <w:r w:rsidDel="00000000" w:rsidR="00000000" w:rsidRPr="00000000">
          <w:rPr>
            <w:rFonts w:ascii="Google Sans" w:cs="Google Sans" w:eastAsia="Google Sans" w:hAnsi="Google Sans"/>
            <w:i w:val="1"/>
            <w:color w:val="1155cc"/>
            <w:sz w:val="24"/>
            <w:szCs w:val="24"/>
            <w:u w:val="single"/>
            <w:rtl w:val="0"/>
          </w:rPr>
          <w:t xml:space="preserve">security audit</w:t>
        </w:r>
      </w:hyperlink>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coursera.org/learn/manage-security-risks/supplement/I8hEO/more-about-security-audi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