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第N次迭代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第N次迭代可以不用此步骤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我们选择GPS连接服务模块进行分解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确定架构驱动因素，如下表所示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4415"/>
        <w:gridCol w:w="17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4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架构驱动因素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重要性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场景X：</w:t>
            </w:r>
            <w:r>
              <w:rPr>
                <w:rFonts w:hint="eastAsia"/>
              </w:rPr>
              <w:t>用户</w:t>
            </w:r>
            <w:r>
              <w:t>数量增加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场景X：单车数量增加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场景X：用户结束骑行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场景X：与GPS全球定位系统进行交互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选择满足架构驱动因素的架构模式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针对可用性相关的架构驱动因素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设计关注点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5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设计关注点</w:t>
            </w:r>
          </w:p>
        </w:tc>
        <w:tc>
          <w:tcPr>
            <w:tcW w:w="581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子关注点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vMerge w:val="restart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正确性</w:t>
            </w: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  <w:vMerge w:val="continue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精确地定位用户周边单车的位置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705" w:type="dxa"/>
            <w:vMerge w:val="continue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解锁单车时发生故障的概率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各子关注点的候选架构模式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精确地定位用户的位置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多次定位取均值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4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多次定位取均值虽然成本开销低、比较容易实现，但稳定性差，效果不好。使用高精度的GPS定位服务虽然成本开销高，但开发难度低，足够稳定。由于系统需要精确、稳定的定位服务，因此我们选择使用高精度的GPS定位服务来精确定位用户的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精确地定位用户周边单车的位置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单车端内置LocalSense定位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5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选择理由：单车端内置LocalSence定位服务的成本比使用高精确的GPS定位服务成功略高，且稳定性不如GPS定位，因此我们选择使用高精度的GPS定位服务来精确定位用户周边单车的位置。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解锁单车时发生故障的概率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4359"/>
        <w:gridCol w:w="1210"/>
        <w:gridCol w:w="122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96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2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14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可实施性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使用Observe模式，单车第一次出现故障时，发送维修请求给维修人员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使用备忘录模式，单车第一次发生故障时，单车嵌入式系统自动恢复到一个正确的状态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使用observe模式+备忘录模式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6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三种解决方案的成本开销、难易程度基本一致。使用observe模式，单车发生故障后，需要维修人与手动维修，中间花的时间过长，会影响单车的使用。使用备忘录模式，单车发生的故障若是物理器件的损坏，单车不能自动修复，可行性不高。使用observe+备忘录模式，单车在第一次发生故障时，使用备忘录模式尝试单车自行恢复，若自行恢复失败，则通知维修人员，可行性高。因此我们选择使用observe+备忘录模式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iii.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候选架构模式综合评估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124"/>
        <w:gridCol w:w="1310"/>
        <w:gridCol w:w="894"/>
        <w:gridCol w:w="1542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精确地定位用户的位置</w:t>
            </w:r>
          </w:p>
        </w:tc>
        <w:tc>
          <w:tcPr>
            <w:tcW w:w="22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精确地定位用户周边单车的位置</w:t>
            </w:r>
          </w:p>
        </w:tc>
        <w:tc>
          <w:tcPr>
            <w:tcW w:w="2760" w:type="dxa"/>
            <w:gridSpan w:val="2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解锁单车时发生故障的概率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54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218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217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易实现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11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成本开销高</w:t>
            </w:r>
          </w:p>
        </w:tc>
        <w:tc>
          <w:tcPr>
            <w:tcW w:w="131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易实现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89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成本开销高</w:t>
            </w:r>
          </w:p>
        </w:tc>
        <w:tc>
          <w:tcPr>
            <w:tcW w:w="15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可用性高</w:t>
            </w:r>
          </w:p>
        </w:tc>
        <w:tc>
          <w:tcPr>
            <w:tcW w:w="1218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无显著缺点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observe模式+备忘录模式</w:t>
            </w:r>
          </w:p>
        </w:tc>
        <w:tc>
          <w:tcPr>
            <w:tcW w:w="454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无明显影响</w:t>
            </w:r>
          </w:p>
        </w:tc>
        <w:tc>
          <w:tcPr>
            <w:tcW w:w="1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大大降低单车发生故障的概率</w:t>
            </w:r>
          </w:p>
        </w:tc>
        <w:tc>
          <w:tcPr>
            <w:tcW w:w="1218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复杂度偏高，实现难度稍大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理由：精确地定位用户的位置、精确地定位用户周边单车的位置可同时使用高精度的GPS定位服务，即简化了系统的复杂度，又能降低系统成本。且高精度的GPS定位服务有极高的可用性、稳定性、易于实现。因此我们采用高精度的GPS定位服务。Observe模式+备忘录模式具有较高的可行性，且成本低，因此我们采用此方案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针对可伸缩性相关的架构驱动因素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i.</w:t>
      </w:r>
      <w:r>
        <w:rPr>
          <w:rFonts w:hint="eastAsia"/>
          <w:vertAlign w:val="baseline"/>
          <w:lang w:val="en-US" w:eastAsia="zh-CN"/>
        </w:rPr>
        <w:tab/>
        <w:t>设计关注点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78"/>
        <w:gridCol w:w="5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8" w:type="dxa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关注点</w:t>
            </w:r>
          </w:p>
        </w:tc>
        <w:tc>
          <w:tcPr>
            <w:tcW w:w="5544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子关注点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78" w:type="dxa"/>
            <w:vMerge w:val="restart"/>
            <w:tcBorders>
              <w:left w:val="nil"/>
            </w:tcBorders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高并发的处理能力</w:t>
            </w:r>
          </w:p>
        </w:tc>
        <w:tc>
          <w:tcPr>
            <w:tcW w:w="5544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适应突然暴涨的用户人数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78" w:type="dxa"/>
            <w:vMerge w:val="continue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544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适应突然暴涨的单车数量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ii.</w:t>
      </w:r>
      <w:r>
        <w:rPr>
          <w:rFonts w:hint="eastAsia"/>
          <w:vertAlign w:val="baseline"/>
          <w:lang w:val="en-US" w:eastAsia="zh-CN"/>
        </w:rPr>
        <w:tab/>
        <w:t>各子关注点的候选架构模式</w:t>
      </w:r>
    </w:p>
    <w:p>
      <w:pPr>
        <w:numPr>
          <w:ilvl w:val="0"/>
          <w:numId w:val="9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适应突然暴涨的用户人数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MapReduce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BigTable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10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选择理由：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MapReduce</w:t>
      </w:r>
      <w:r>
        <w:rPr>
          <w:rFonts w:hint="eastAsia"/>
          <w:vertAlign w:val="baseline"/>
          <w:lang w:val="en-US" w:eastAsia="zh-CN"/>
        </w:rPr>
        <w:t>的实现难易程度虽然不高，但是其稳定性差，出错被认为是很寻常的事，因此我们在这里选择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BigTable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  <w:r>
        <w:rPr>
          <w:rFonts w:hint="eastAsia"/>
          <w:vertAlign w:val="baseline"/>
          <w:lang w:val="en-US" w:eastAsia="zh-CN"/>
        </w:rPr>
        <w:t>适应突然暴涨的单车数量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MapReduce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BigTable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10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选择理由：同上选择理由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iii.</w:t>
      </w:r>
      <w:r>
        <w:rPr>
          <w:rFonts w:hint="eastAsia"/>
          <w:vertAlign w:val="baseline"/>
          <w:lang w:val="en-US" w:eastAsia="zh-CN"/>
        </w:rPr>
        <w:tab/>
        <w:t>候选架构模式综合评价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6"/>
        <w:gridCol w:w="1568"/>
        <w:gridCol w:w="1568"/>
        <w:gridCol w:w="1693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  <w:vMerge w:val="restart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适应突然暴涨的用户人数</w:t>
            </w:r>
          </w:p>
        </w:tc>
        <w:tc>
          <w:tcPr>
            <w:tcW w:w="3210" w:type="dxa"/>
            <w:gridSpan w:val="2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适应突然暴涨的单车数量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  <w:vMerge w:val="continue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693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517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MapReduce</w:t>
            </w: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实现较为容易</w:t>
            </w: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成本高且不稳定</w:t>
            </w:r>
          </w:p>
        </w:tc>
        <w:tc>
          <w:tcPr>
            <w:tcW w:w="1693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实现较为容易</w:t>
            </w:r>
          </w:p>
        </w:tc>
        <w:tc>
          <w:tcPr>
            <w:tcW w:w="151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成本高且不稳定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BigTable</w:t>
            </w: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156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成本高且难以实现</w:t>
            </w:r>
          </w:p>
        </w:tc>
        <w:tc>
          <w:tcPr>
            <w:tcW w:w="1693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151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成本高且难以实现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MapReduce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BigTable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都适合处理高并发，都能满足可伸缩性的要求。两种架构的成本开销都较高。但由于系统需要较好的稳定性，而MapReduce又经常容易发生错误</w:t>
      </w:r>
      <w:bookmarkStart w:id="0" w:name="_GoBack"/>
      <w:bookmarkEnd w:id="0"/>
      <w:r>
        <w:rPr>
          <w:rFonts w:hint="eastAsia" w:asciiTheme="minorEastAsia" w:hAnsiTheme="minorEastAsia" w:cstheme="minorEastAsia"/>
          <w:vertAlign w:val="baseline"/>
          <w:lang w:val="en-US" w:eastAsia="zh-CN"/>
        </w:rPr>
        <w:t>，因此，在这里我们选择BigTable架构。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9FA2"/>
    <w:multiLevelType w:val="singleLevel"/>
    <w:tmpl w:val="58C39F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3A728"/>
    <w:multiLevelType w:val="singleLevel"/>
    <w:tmpl w:val="58C3A728"/>
    <w:lvl w:ilvl="0" w:tentative="0">
      <w:start w:val="1"/>
      <w:numFmt w:val="decimal"/>
      <w:lvlText w:val="%1)"/>
      <w:lvlJc w:val="left"/>
    </w:lvl>
  </w:abstractNum>
  <w:abstractNum w:abstractNumId="2">
    <w:nsid w:val="58C3AD7A"/>
    <w:multiLevelType w:val="singleLevel"/>
    <w:tmpl w:val="58C3AD7A"/>
    <w:lvl w:ilvl="0" w:tentative="0">
      <w:start w:val="1"/>
      <w:numFmt w:val="lowerLetter"/>
      <w:lvlText w:val="%1)"/>
      <w:lvlJc w:val="left"/>
    </w:lvl>
  </w:abstractNum>
  <w:abstractNum w:abstractNumId="3">
    <w:nsid w:val="58C3B771"/>
    <w:multiLevelType w:val="singleLevel"/>
    <w:tmpl w:val="58C3B771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C3B790"/>
    <w:multiLevelType w:val="singleLevel"/>
    <w:tmpl w:val="58C3B79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C3B7AF"/>
    <w:multiLevelType w:val="singleLevel"/>
    <w:tmpl w:val="58C3B7A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C3BC49"/>
    <w:multiLevelType w:val="singleLevel"/>
    <w:tmpl w:val="58C3BC4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C42F71"/>
    <w:multiLevelType w:val="singleLevel"/>
    <w:tmpl w:val="58C42F71"/>
    <w:lvl w:ilvl="0" w:tentative="0">
      <w:start w:val="2"/>
      <w:numFmt w:val="decimal"/>
      <w:lvlText w:val="%1)"/>
      <w:lvlJc w:val="left"/>
    </w:lvl>
  </w:abstractNum>
  <w:abstractNum w:abstractNumId="8">
    <w:nsid w:val="58C432F5"/>
    <w:multiLevelType w:val="singleLevel"/>
    <w:tmpl w:val="58C432F5"/>
    <w:lvl w:ilvl="0" w:tentative="0">
      <w:start w:val="1"/>
      <w:numFmt w:val="lowerLetter"/>
      <w:lvlText w:val="%1)"/>
      <w:lvlJc w:val="left"/>
    </w:lvl>
  </w:abstractNum>
  <w:abstractNum w:abstractNumId="9">
    <w:nsid w:val="58C43717"/>
    <w:multiLevelType w:val="singleLevel"/>
    <w:tmpl w:val="58C4371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C438EB"/>
    <w:multiLevelType w:val="singleLevel"/>
    <w:tmpl w:val="58C438EB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05AD9"/>
    <w:rsid w:val="01512B86"/>
    <w:rsid w:val="02414702"/>
    <w:rsid w:val="030766D8"/>
    <w:rsid w:val="06A71BFD"/>
    <w:rsid w:val="06CE1AAA"/>
    <w:rsid w:val="07930D03"/>
    <w:rsid w:val="090B0E90"/>
    <w:rsid w:val="0B624812"/>
    <w:rsid w:val="0BE9457A"/>
    <w:rsid w:val="0E8A577B"/>
    <w:rsid w:val="102C4D1A"/>
    <w:rsid w:val="14FC6D8A"/>
    <w:rsid w:val="15D52A5B"/>
    <w:rsid w:val="18A91EAC"/>
    <w:rsid w:val="19311013"/>
    <w:rsid w:val="19821ECA"/>
    <w:rsid w:val="1A436C40"/>
    <w:rsid w:val="1C7C36DE"/>
    <w:rsid w:val="26C83816"/>
    <w:rsid w:val="27AA32D1"/>
    <w:rsid w:val="28A06EDE"/>
    <w:rsid w:val="2AFB27C0"/>
    <w:rsid w:val="2C4E12AE"/>
    <w:rsid w:val="2D7A493D"/>
    <w:rsid w:val="311512CE"/>
    <w:rsid w:val="321D4E72"/>
    <w:rsid w:val="33825283"/>
    <w:rsid w:val="3B6F263C"/>
    <w:rsid w:val="3F700CE3"/>
    <w:rsid w:val="40606EC5"/>
    <w:rsid w:val="41C2477B"/>
    <w:rsid w:val="42354F1E"/>
    <w:rsid w:val="44983524"/>
    <w:rsid w:val="481D40D2"/>
    <w:rsid w:val="48505AD9"/>
    <w:rsid w:val="50227BE7"/>
    <w:rsid w:val="50227C26"/>
    <w:rsid w:val="56EF507D"/>
    <w:rsid w:val="587B666F"/>
    <w:rsid w:val="5D116BD5"/>
    <w:rsid w:val="5F2021D2"/>
    <w:rsid w:val="623E6498"/>
    <w:rsid w:val="628C0B89"/>
    <w:rsid w:val="646F7FD1"/>
    <w:rsid w:val="66224304"/>
    <w:rsid w:val="671F74C7"/>
    <w:rsid w:val="68A33A34"/>
    <w:rsid w:val="74725E3C"/>
    <w:rsid w:val="77351AC8"/>
    <w:rsid w:val="7B202E7B"/>
    <w:rsid w:val="7D542642"/>
    <w:rsid w:val="7D847F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2017-03-11T06:52:00Z</dcterms:created>
  <dc:creator>zengpan</dc:creator>
  <cp:lastModifiedBy>zengpan</cp:lastModifiedBy>
  <dcterms:modified xsi:type="dcterms:W3CDTF">2017-03-11T17:49:28Z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