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第N次迭代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第N次迭代可以不用此步骤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我们选择GPS连接服务模块进行分解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确定架构驱动因素，如下表所示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1"/>
        <w:gridCol w:w="4415"/>
        <w:gridCol w:w="17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441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架构驱动因素</w:t>
            </w:r>
          </w:p>
        </w:tc>
        <w:tc>
          <w:tcPr>
            <w:tcW w:w="17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重要性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1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场景X：</w:t>
            </w:r>
            <w:r>
              <w:rPr>
                <w:rFonts w:hint="eastAsia"/>
              </w:rPr>
              <w:t>用户</w:t>
            </w:r>
            <w:r>
              <w:t>数量增加</w:t>
            </w:r>
          </w:p>
        </w:tc>
        <w:tc>
          <w:tcPr>
            <w:tcW w:w="17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41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场景X：单车数量增加</w:t>
            </w:r>
          </w:p>
        </w:tc>
        <w:tc>
          <w:tcPr>
            <w:tcW w:w="17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41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场景X：用户结束骑行</w:t>
            </w:r>
          </w:p>
        </w:tc>
        <w:tc>
          <w:tcPr>
            <w:tcW w:w="17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  <w:tcBorders>
              <w:lef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41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场景X：与GPS全球定位系统进行交互</w:t>
            </w:r>
          </w:p>
        </w:tc>
        <w:tc>
          <w:tcPr>
            <w:tcW w:w="17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678" w:type="dxa"/>
            <w:tcBorders>
              <w:righ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选择满足架构驱动因素的架构模式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针对可用性相关的架构驱动因素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</w:t>
      </w:r>
      <w:r>
        <w:rPr>
          <w:rFonts w:hint="eastAsia"/>
          <w:lang w:val="en-US" w:eastAsia="zh-CN"/>
        </w:rPr>
        <w:tab/>
        <w:t>设计关注点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05"/>
        <w:gridCol w:w="5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5" w:type="dxa"/>
            <w:tcBorders>
              <w:lef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设计关注点</w:t>
            </w:r>
          </w:p>
        </w:tc>
        <w:tc>
          <w:tcPr>
            <w:tcW w:w="5817" w:type="dxa"/>
            <w:tcBorders>
              <w:righ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子关注点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5" w:type="dxa"/>
            <w:vMerge w:val="restart"/>
            <w:tcBorders>
              <w:lef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正确性</w:t>
            </w:r>
          </w:p>
        </w:tc>
        <w:tc>
          <w:tcPr>
            <w:tcW w:w="5817" w:type="dxa"/>
            <w:tcBorders>
              <w:righ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精确地定位用户的位置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5" w:type="dxa"/>
            <w:vMerge w:val="continue"/>
            <w:tcBorders>
              <w:lef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7" w:type="dxa"/>
            <w:tcBorders>
              <w:righ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精确地定位用户周边单车的位置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7" w:hRule="atLeast"/>
        </w:trPr>
        <w:tc>
          <w:tcPr>
            <w:tcW w:w="2705" w:type="dxa"/>
            <w:vMerge w:val="continue"/>
            <w:tcBorders>
              <w:lef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7" w:type="dxa"/>
            <w:tcBorders>
              <w:righ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解锁单车时发生故障的概率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rPr>
          <w:rFonts w:hint="eastAsia"/>
          <w:lang w:val="en-US" w:eastAsia="zh-CN"/>
        </w:rPr>
        <w:tab/>
        <w:t>各子关注点的候选架构模式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精确地定位用户的位置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4"/>
        <w:gridCol w:w="3910"/>
        <w:gridCol w:w="1334"/>
        <w:gridCol w:w="126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391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</w:t>
            </w:r>
          </w:p>
        </w:tc>
        <w:tc>
          <w:tcPr>
            <w:tcW w:w="1262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难易程度</w:t>
            </w:r>
          </w:p>
        </w:tc>
        <w:tc>
          <w:tcPr>
            <w:tcW w:w="130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多次定位取均值</w:t>
            </w:r>
          </w:p>
        </w:tc>
        <w:tc>
          <w:tcPr>
            <w:tcW w:w="133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4" w:type="dxa"/>
            <w:tcBorders>
              <w:lef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使用高精度的GPS定位服务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7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4"/>
        </w:numPr>
        <w:tabs>
          <w:tab w:val="left" w:pos="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理由：多次定位取均值虽然成本开销低、比较容易实现，但稳定性差，效果不好。使用高精度的GPS定位服务虽然成本开销高，但开发难度低，足够稳定。由于系统需要精确、稳定的定位服务，因此我们选择使用高精度的GPS定位服务来精确定位用户的位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精确地定位用户周边单车的位置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3910"/>
        <w:gridCol w:w="1334"/>
        <w:gridCol w:w="126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难易程度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单车端内置LocalSense定位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使用高精度的GPS定位服务</w:t>
            </w:r>
          </w:p>
        </w:tc>
        <w:tc>
          <w:tcPr>
            <w:tcW w:w="13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2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7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5"/>
        </w:numPr>
        <w:tabs>
          <w:tab w:val="left" w:pos="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选择理由：单车端内置LocalSence定位服务的成本比使用高精确的GPS定位服务成功略高，且稳定性不如GPS定位，因此我们选择使用高精度的GPS定位服务来精确定位用户周边单车的位置。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解锁单车时发生故障的概率</w:t>
      </w:r>
    </w:p>
    <w:tbl>
      <w:tblPr>
        <w:tblStyle w:val="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4359"/>
        <w:gridCol w:w="1210"/>
        <w:gridCol w:w="122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96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43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  <w:tc>
          <w:tcPr>
            <w:tcW w:w="1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</w:t>
            </w:r>
          </w:p>
        </w:tc>
        <w:tc>
          <w:tcPr>
            <w:tcW w:w="1221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难易程度</w:t>
            </w:r>
          </w:p>
        </w:tc>
        <w:tc>
          <w:tcPr>
            <w:tcW w:w="1141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可实施性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5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使用Observe模式，单车第一次出现故障时，发送维修请求给维修人员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22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4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35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使用备忘录模式，单车第一次发生故障时，单车嵌入式系统自动恢复到一个正确的状态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2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4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tcBorders>
              <w:lef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35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使用observe模式+备忘录模式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2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41" w:type="dxa"/>
            <w:tcBorders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6"/>
        </w:numPr>
        <w:tabs>
          <w:tab w:val="left" w:pos="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理由：三种解决方案的成本开销、难易程度基本一致。使用observe模式，单车发生故障后，需要维修人与手动维修，中间花的时间过长，会影响单车的使用。使用备忘录模式，单车发生的故障若是物理器件的损坏，单车不能自动修复，可行性不高。使用observe+备忘录模式，单车在第一次发生故障时，使用备忘录模式尝试单车自行恢复，若自行恢复失败，则通知维修人员，可行性高。因此我们选择使用observe+备忘录模式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iii.</w:t>
      </w:r>
      <w:r>
        <w:rPr>
          <w:rFonts w:hint="eastAsia"/>
          <w:vertAlign w:val="baseline"/>
          <w:lang w:val="en-US" w:eastAsia="zh-CN"/>
        </w:rPr>
        <w:tab/>
        <w:t>候选架构模式综合评估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124"/>
        <w:gridCol w:w="1310"/>
        <w:gridCol w:w="894"/>
        <w:gridCol w:w="1542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gridSpan w:val="2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精确地定位用户的位置</w:t>
            </w:r>
          </w:p>
        </w:tc>
        <w:tc>
          <w:tcPr>
            <w:tcW w:w="2204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精确地定位用户周边单车的位置</w:t>
            </w:r>
          </w:p>
        </w:tc>
        <w:tc>
          <w:tcPr>
            <w:tcW w:w="2760" w:type="dxa"/>
            <w:gridSpan w:val="2"/>
            <w:tcBorders>
              <w:right w:val="nil"/>
            </w:tcBorders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解锁单车时发生故障的概率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12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3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54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218" w:type="dxa"/>
            <w:tcBorders>
              <w:right w:val="nil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1217" w:type="dxa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使用高精度的GPS定位服务</w:t>
            </w:r>
          </w:p>
        </w:tc>
        <w:tc>
          <w:tcPr>
            <w:tcW w:w="1217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易实现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稳定性高</w:t>
            </w:r>
          </w:p>
        </w:tc>
        <w:tc>
          <w:tcPr>
            <w:tcW w:w="112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成本开销高</w:t>
            </w:r>
          </w:p>
        </w:tc>
        <w:tc>
          <w:tcPr>
            <w:tcW w:w="131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易实现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稳定性高</w:t>
            </w:r>
          </w:p>
        </w:tc>
        <w:tc>
          <w:tcPr>
            <w:tcW w:w="89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成本开销高</w:t>
            </w:r>
          </w:p>
        </w:tc>
        <w:tc>
          <w:tcPr>
            <w:tcW w:w="1542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可用性高</w:t>
            </w:r>
          </w:p>
        </w:tc>
        <w:tc>
          <w:tcPr>
            <w:tcW w:w="1218" w:type="dxa"/>
            <w:tcBorders>
              <w:right w:val="nil"/>
            </w:tcBorders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无显著缺点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lef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observe模式+备忘录模式</w:t>
            </w:r>
          </w:p>
        </w:tc>
        <w:tc>
          <w:tcPr>
            <w:tcW w:w="4545" w:type="dxa"/>
            <w:gridSpan w:val="4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无明显影响</w:t>
            </w:r>
          </w:p>
        </w:tc>
        <w:tc>
          <w:tcPr>
            <w:tcW w:w="154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大大降低单车发生故障的概率</w:t>
            </w:r>
          </w:p>
        </w:tc>
        <w:tc>
          <w:tcPr>
            <w:tcW w:w="1218" w:type="dxa"/>
            <w:tcBorders>
              <w:right w:val="nil"/>
            </w:tcBorders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复杂度偏高，实现难度稍大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选择理由：精确地定位用户的位置、精确地定位用户周边单车的位置可同时使用高精度的GPS定位服务，即简化了系统的复杂度，又能降低系统成本。且高精度的GPS定位服务有极高的可用性、稳定性、易于实现。因此我们采用高精度的GPS定位服务。Observe模式+备忘录模式具有较高的可行性，且成本低，因此我们采用此方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9FA2"/>
    <w:multiLevelType w:val="singleLevel"/>
    <w:tmpl w:val="58C39FA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C3A728"/>
    <w:multiLevelType w:val="singleLevel"/>
    <w:tmpl w:val="58C3A728"/>
    <w:lvl w:ilvl="0" w:tentative="0">
      <w:start w:val="1"/>
      <w:numFmt w:val="decimal"/>
      <w:lvlText w:val="%1)"/>
      <w:lvlJc w:val="left"/>
    </w:lvl>
  </w:abstractNum>
  <w:abstractNum w:abstractNumId="2">
    <w:nsid w:val="58C3AD7A"/>
    <w:multiLevelType w:val="singleLevel"/>
    <w:tmpl w:val="58C3AD7A"/>
    <w:lvl w:ilvl="0" w:tentative="0">
      <w:start w:val="1"/>
      <w:numFmt w:val="lowerLetter"/>
      <w:lvlText w:val="%1)"/>
      <w:lvlJc w:val="left"/>
    </w:lvl>
  </w:abstractNum>
  <w:abstractNum w:abstractNumId="3">
    <w:nsid w:val="58C3B771"/>
    <w:multiLevelType w:val="singleLevel"/>
    <w:tmpl w:val="58C3B771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C3B790"/>
    <w:multiLevelType w:val="singleLevel"/>
    <w:tmpl w:val="58C3B790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C3B7AF"/>
    <w:multiLevelType w:val="singleLevel"/>
    <w:tmpl w:val="58C3B7A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C3BC49"/>
    <w:multiLevelType w:val="singleLevel"/>
    <w:tmpl w:val="58C3BC49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05AD9"/>
    <w:rsid w:val="01512B86"/>
    <w:rsid w:val="02414702"/>
    <w:rsid w:val="030766D8"/>
    <w:rsid w:val="06A71BFD"/>
    <w:rsid w:val="06CE1AAA"/>
    <w:rsid w:val="07930D03"/>
    <w:rsid w:val="090B0E90"/>
    <w:rsid w:val="0B624812"/>
    <w:rsid w:val="0BE9457A"/>
    <w:rsid w:val="0E8A577B"/>
    <w:rsid w:val="102C4D1A"/>
    <w:rsid w:val="14FC6D8A"/>
    <w:rsid w:val="15D52A5B"/>
    <w:rsid w:val="19311013"/>
    <w:rsid w:val="19821ECA"/>
    <w:rsid w:val="1A436C40"/>
    <w:rsid w:val="26C83816"/>
    <w:rsid w:val="28A06EDE"/>
    <w:rsid w:val="2AFB27C0"/>
    <w:rsid w:val="2C4E12AE"/>
    <w:rsid w:val="2D7A493D"/>
    <w:rsid w:val="311512CE"/>
    <w:rsid w:val="33825283"/>
    <w:rsid w:val="3B6F263C"/>
    <w:rsid w:val="40606EC5"/>
    <w:rsid w:val="41C2477B"/>
    <w:rsid w:val="44983524"/>
    <w:rsid w:val="481D40D2"/>
    <w:rsid w:val="48505AD9"/>
    <w:rsid w:val="50227BE7"/>
    <w:rsid w:val="50227C26"/>
    <w:rsid w:val="56EF507D"/>
    <w:rsid w:val="587B666F"/>
    <w:rsid w:val="5D116BD5"/>
    <w:rsid w:val="5F2021D2"/>
    <w:rsid w:val="623E6498"/>
    <w:rsid w:val="628C0B89"/>
    <w:rsid w:val="646F7FD1"/>
    <w:rsid w:val="66224304"/>
    <w:rsid w:val="671F74C7"/>
    <w:rsid w:val="68A33A34"/>
    <w:rsid w:val="74725E3C"/>
    <w:rsid w:val="77351AC8"/>
    <w:rsid w:val="7B202E7B"/>
    <w:rsid w:val="7D542642"/>
    <w:rsid w:val="7D847F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2017-03-11T06:52:00Z</dcterms:created>
  <dc:creator>zengpan</dc:creator>
  <cp:lastModifiedBy>zengpan</cp:lastModifiedBy>
  <dcterms:modified xsi:type="dcterms:W3CDTF">2017-03-11T08:44:15Z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