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</w:pPr>
      <w:r>
        <w:rPr>
          <w:rFonts w:ascii="Aptos Display" w:hAnsi="Aptos Display"/>
          <w:b/>
          <w:color w:val="020035"/>
          <w:sz w:val="28"/>
        </w:rPr>
        <w:t>KIRIOX</w:t>
      </w:r>
    </w:p>
    <w:p>
      <w:pPr>
        <w:spacing w:after="120"/>
      </w:pPr>
      <w:r>
        <w:rPr>
          <w:rFonts w:ascii="Aptos" w:hAnsi="Aptos"/>
          <w:b/>
          <w:color w:val="ED4B00"/>
          <w:sz w:val="18"/>
        </w:rPr>
        <w:t>REPORTE DE ENTREGA  |  17 DE SEPTIEMBRE DE 2026</w:t>
      </w:r>
    </w:p>
    <w:p>
      <w:pPr>
        <w:pStyle w:val="Title"/>
        <w:spacing w:after="200"/>
      </w:pPr>
      <w:r>
        <w:rPr>
          <w:rFonts w:ascii="Aptos Display" w:hAnsi="Aptos Display"/>
          <w:b/>
          <w:color w:val="000000"/>
          <w:sz w:val="56"/>
        </w:rPr>
        <w:t>Reporte del Sprint Kiriox Continuous Assurance</w:t>
      </w:r>
    </w:p>
    <w:p>
      <w:pPr>
        <w:pStyle w:val="Subtitle"/>
      </w:pPr>
      <w:r>
        <w:rPr>
          <w:rFonts w:ascii="Aptos" w:hAnsi="Aptos"/>
          <w:color w:val="667085"/>
          <w:sz w:val="24"/>
        </w:rPr>
        <w:t>MVP local first para adquisición, validación e ingesta auditable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Este documento resume lo entregado durante el sprint, las funcionalidades disponibles, el flujo completo para validarlo y los resultados obtenidos. La conclusión es que el módulo está listo para revisión funcional y entrega del repositorio como MVP local first.</w:t>
      </w: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2143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7534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Entrega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MVP funcional para revisión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Arquitectura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Next.js + FastAPI + PostgreSQL local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Estado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Validado con pruebas automatizadas y E2E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Audiencia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Revisión técnica y de negocio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1 Resumen ejecutivo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El módulo permite registrar fuentes de datos, inspeccionar archivos o tablas, aplicar reglas de calidad, cargar cambios de forma controlada y conservar evidencia auditable de cada ejecución.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Durante la validación se completó un flujo real de archivo desde la interfaz y un flujo real contra PostgreSQL local. También se probaron idempotencia, cuarentena, historial, schedules, pausa y activación, extracción incremental y watermark. El producto queda listo para demostración y revisión del negocio.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2 Arquitectura y alcance</w:t>
      </w:r>
    </w:p>
    <w:p>
      <w:pPr>
        <w:spacing w:before="40" w:after="160" w:line="240" w:lineRule="auto"/>
        <w:ind w:left="259" w:right="259"/>
        <w:shd w:fill="F2F3F4"/>
      </w:pPr>
      <w:r>
        <w:rPr>
          <w:rFonts w:ascii="Consolas" w:hAnsi="Consolas"/>
          <w:color w:val="1F2937"/>
          <w:sz w:val="17"/>
        </w:rPr>
        <w:t>Interfaz web 127.0.0.1:3000</w:t>
      </w:r>
      <w:r>
        <w:br/>
      </w:r>
      <w:r>
        <w:rPr>
          <w:rFonts w:ascii="Consolas" w:hAnsi="Consolas"/>
          <w:color w:val="1F2937"/>
          <w:sz w:val="17"/>
        </w:rPr>
        <w:t xml:space="preserve">        |</w:t>
      </w:r>
      <w:r>
        <w:br/>
      </w:r>
      <w:r>
        <w:rPr>
          <w:rFonts w:ascii="Consolas" w:hAnsi="Consolas"/>
          <w:color w:val="1F2937"/>
          <w:sz w:val="17"/>
        </w:rPr>
        <w:t>API FastAPI 127.0.0.1:8000</w:t>
      </w:r>
      <w:r>
        <w:br/>
      </w:r>
      <w:r>
        <w:rPr>
          <w:rFonts w:ascii="Consolas" w:hAnsi="Consolas"/>
          <w:color w:val="1F2937"/>
          <w:sz w:val="17"/>
        </w:rPr>
        <w:t xml:space="preserve">        |</w:t>
      </w:r>
      <w:r>
        <w:br/>
      </w:r>
      <w:r>
        <w:rPr>
          <w:rFonts w:ascii="Consolas" w:hAnsi="Consolas"/>
          <w:color w:val="1F2937"/>
          <w:sz w:val="17"/>
        </w:rPr>
        <w:t>PostgreSQL local 127.0.0.1:5432</w:t>
      </w:r>
      <w:r>
        <w:br/>
      </w:r>
      <w:r>
        <w:rPr>
          <w:rFonts w:ascii="Consolas" w:hAnsi="Consolas"/>
          <w:color w:val="1F2937"/>
          <w:sz w:val="17"/>
        </w:rPr>
      </w:r>
      <w:r>
        <w:br/>
      </w:r>
      <w:r>
        <w:rPr>
          <w:rFonts w:ascii="Consolas" w:hAnsi="Consolas"/>
          <w:color w:val="1F2937"/>
          <w:sz w:val="17"/>
        </w:rPr>
        <w:t>Source Manager -&gt; Reader o Connector -&gt; Detector de cambios</w:t>
      </w:r>
      <w:r>
        <w:br/>
      </w:r>
      <w:r>
        <w:rPr>
          <w:rFonts w:ascii="Consolas" w:hAnsi="Consolas"/>
          <w:color w:val="1F2937"/>
          <w:sz w:val="17"/>
        </w:rPr>
        <w:t xml:space="preserve">                                      -&gt; Validator -&gt; Loader</w:t>
      </w:r>
      <w:r>
        <w:br/>
      </w:r>
      <w:r>
        <w:rPr>
          <w:rFonts w:ascii="Consolas" w:hAnsi="Consolas"/>
          <w:color w:val="1F2937"/>
          <w:sz w:val="17"/>
        </w:rPr>
        <w:t xml:space="preserve">                                      -&gt; Audit Logger y cuarentena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La separación lógica de datos utiliza los schemas ingestion, raw, data y audit. El runtime aplica migraciones Alembic reproducibles y no crea tablas silenciosamente.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3 Funcionalidades entregadas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3.1 Configuración de fuentes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Crear fuentes con nombre, descripción, dataset, tipo y clave de negocio.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Configurar origen FILE o conexión SQL de solo lectura.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Seleccionar FULL_REPLACE, APPEND o INCREMENTAL_UPSERT.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Configurar valores faltantes, tamaño de lote y columnas de watermark.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Revisar la configuración completa en un wizard funcional de ocho pasos antes de guardar.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3.2 Archivos y preview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Procesar CSV, TXT delimitado, XLSX y XML.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Previsualizar registros antes de ejecutar una carga.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Inferir tipos INTEGER, DECIMAL, DATE y TEXT.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Exigir record_tag explícito para XML.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Calcular SHA-256 del archivo y hash canónico por fila.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3.3 Validación y cuarentena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Aplicar reglas REQUIRED, NUMERIC, INTEGER, DECIMAL, DATE, MAX_LENGTH, ALLOWED_VALUES, MIN, MAX, RANGE, REGEX y UNIQUE.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Clasificar errores como corregibles, rechazables o técnicos.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Enviar registros inválidos a cuarentena conservando el contenido original.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Mostrar campo, valor, regla, código de error y raw record.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3.4 Carga segura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Detectar archivos sin cambios mediante FILE_UNCHANGED y evitar duplicados.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Insertar nuevos registros y actualizar existentes según la estrategia.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Ejecutar FULL_REPLACE mediante staging transaccional.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Aplicar locking por fuente para evitar ejecuciones incompatibles.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Confirmar el watermark solo después de una carga local exitosa.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Hacer rollback ante fallos técnicos.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3.5 Conectores SQL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Conectar en modo read only a PostgreSQL.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Descubrir schemas, tablas y columnas.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Previsualizar tablas con límite controlado.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Extraer mediante streaming y watermark compuesto.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Contar con adapters para SQL Server, MySQL, MariaDB, Oracle y Db2 mediante drivers opcionales.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3.6 Schedules y operación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Crear schedules CRON o INTERVAL.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Ejecutar cargas automáticas.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Pausar y activar schedules desde la interfaz.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Registrar estado, próxima ejecución, intentos y clasificación de reintentos.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Usar el timezone configurado, America/Santo_Domingo en el entorno validado.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3.7 Historial evidencia y seguridad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Consultar historial y métricas de cada ejecución.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Ver watermark anterior y posterior.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Consultar excepciones, raw record y snapshot de configuración.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Cifrar credenciales con Fernet y no devolver contraseñas a la UI.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Trabajar por defecto en 127.0.0.1 y sin telemetría externa.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4 Flujo completo de validación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4.1 Arranque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Desde la raíz del repositorio, abrir dos terminales PowerShell. Docker Desktop debe estar iniciado.</w:t>
      </w:r>
    </w:p>
    <w:p>
      <w:pPr>
        <w:spacing w:before="40" w:after="160" w:line="240" w:lineRule="auto"/>
        <w:ind w:left="259" w:right="259"/>
        <w:shd w:fill="F2F3F4"/>
      </w:pPr>
      <w:r>
        <w:rPr>
          <w:rFonts w:ascii="Consolas" w:hAnsi="Consolas"/>
          <w:color w:val="1F2937"/>
          <w:sz w:val="17"/>
        </w:rPr>
        <w:t>docker compose up -d postgres</w:t>
      </w:r>
      <w:r>
        <w:br/>
      </w:r>
      <w:r>
        <w:rPr>
          <w:rFonts w:ascii="Consolas" w:hAnsi="Consolas"/>
          <w:color w:val="1F2937"/>
          <w:sz w:val="17"/>
        </w:rPr>
        <w:t>.\scripts\start-backend.ps1</w:t>
      </w:r>
    </w:p>
    <w:p>
      <w:pPr>
        <w:spacing w:before="40" w:after="160" w:line="240" w:lineRule="auto"/>
        <w:ind w:left="259" w:right="259"/>
        <w:shd w:fill="F2F3F4"/>
      </w:pPr>
      <w:r>
        <w:rPr>
          <w:rFonts w:ascii="Consolas" w:hAnsi="Consolas"/>
          <w:color w:val="1F2937"/>
          <w:sz w:val="17"/>
        </w:rPr>
        <w:t>.\scripts\start-frontend.ps1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Abrir la aplicación en http://127.0.0.1:3000/. Comprobar la API en http://127.0.0.1:8000/health y la documentación interactiva en http://127.0.0.1:8000/docs.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4.2 Crear una fuente de archivo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En Fuentes de datos, pulsar Nueva fuente y completar las ocho etapas.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Fuente: usar el nombre Demo transacciones, una descripción y tipo FILE.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Origen: seleccionar outputs/transacciones-invalidas.csv.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Preview: comprobar ID, Amount, TransactionDate, CustomerID y BranchID.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Esquema: confirmar tipos, usar dataset transactions_demo y clave ID.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Estrategia: elegir INCREMENTAL_UPSERT.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Validación: crear regla para Amount, tipo NUMERIC y severidad ERROR.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Schedule: dejarlo vacío para prueba manual o crear CRON */1 * * * *.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Revisión: confirmar el resumen y pulsar Crear fuente y continuar.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4.3 Ejecutar y revisar la carga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Ejecutar Preview y verificar que Amount=ABC incumple la regla.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Pulsar Ejecutar carga.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Esperar el estado COMPLETED_WITH_ERRORS.</w:t>
      </w: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391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285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Registros recibidos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3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Registros nuevos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2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Registros actualizados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0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Registros rechazados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1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9"/>
              </w:rPr>
              <w:t>Error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9"/>
              </w:rPr>
              <w:t>INVALID_NUMBER en Amount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4.4 Historial excepciones y evidencia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En Historial de ejecuciones, seleccionar la fuente y abrir la ejecución recién creada. Confirmar el estado, las métricas, la fila con ID=2, el valor ABC, la regla NUMERIC, el código INVALID_NUMBER, el raw record y el snapshot de configuración. En Excepciones debe aparecer la misma fila en cuarentena.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4.5 Idempotencia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Ejecutar nuevamente la misma fuente sin modificar el CSV. Debe aparecer FILE_UNCHANGED o una ejecución sin nuevos inserts. Las dos filas válidas no deben duplicarse. Para probar un cambio, editar una copia del CSV, modificar un Amount válido y volver a ejecutar.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4.6 Schedule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Confirmar la expresión CRON y el timezone.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Esperar el siguiente minuto y revisar la ejecución automática.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Pulsar Pausar y comprobar INACTIVE.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Pulsar Activar y comprobar ACTIVE.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Dejar el schedule pausado al terminar la demostración.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4.7 Explorador PostgreSQL</w:t>
      </w: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3180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497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Valor de desarrollo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Motor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PostgreSQL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Host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127.0.0.1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Puerto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5432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Base de datos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kiriox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Usuario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kiriox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Contraseña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kiriox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Schema inicial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public</w:t>
            </w:r>
          </w:p>
        </w:tc>
      </w:tr>
    </w:tbl>
    <w:p>
      <w:pPr>
        <w:spacing w:after="40"/>
      </w:pP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Pulsar Probar y guardar conexión.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Descubrir schemas, tablas y columnas.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Ejecutar un preview limitado.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Crear una fuente desde una tabla.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Ejecutar extracción y revisar el watermark anterior y posterior.</w:t>
      </w:r>
    </w:p>
    <w:p>
      <w:pPr>
        <w:pStyle w:val="ListNumber"/>
        <w:spacing w:after="80" w:line="259" w:lineRule="auto"/>
      </w:pPr>
      <w:r>
        <w:rPr>
          <w:rFonts w:ascii="Aptos" w:hAnsi="Aptos"/>
          <w:color w:val="1F2937"/>
          <w:sz w:val="20"/>
        </w:rPr>
        <w:t>Repetir sin cambios y comprobar cero filas nuevas.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Las credenciales anteriores son las definidas en docker-compose.yml y son exclusivamente de desarrollo local. Deben cambiarse antes de cualquier uso real.</w:t>
      </w:r>
    </w:p>
    <w:p>
      <w:pPr>
        <w:pStyle w:val="Heading2"/>
        <w:keepNext/>
      </w:pPr>
      <w:r>
        <w:rPr>
          <w:rFonts w:ascii="Aptos" w:hAnsi="Aptos"/>
          <w:b/>
          <w:color w:val="000000"/>
          <w:sz w:val="24"/>
        </w:rPr>
        <w:t>4.8 Prueba de API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En http://127.0.0.1:8000/docs se pueden probar los endpoints principales en este orden: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GET /health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GET /api/sources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POST /api/preview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POST /api/sources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POST /api/sources/{id}/preview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POST /api/sources/{id}/rules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POST /api/sources/{id}/runs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GET /api/sources/{id}/runs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GET /api/runs/{run_id}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GET /api/runs/{run_id}/exceptions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5 Pestañas de la aplicación</w:t>
      </w: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3110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6566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Qué permite hacer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Fuentes de datos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Crear fuentes, configurar origen, previsualizar y ejecutar cargas.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Historial de ejecuciones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Revisar métricas, estados, watermark, errores y snapshots.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Excepciones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Consultar cuarentena y detalle de registros rechazados.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Configuración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Administrar timezone, tamaño de lote y telemetría.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8"/>
              </w:rPr>
              <w:t>Explorador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8"/>
              </w:rPr>
              <w:t>Conectar PostgreSQL, descubrir objetos, previsualizar y crear fuentes.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6 Pruebas técnicas realizadas</w:t>
      </w: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3456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Verificación</w:t>
            </w:r>
          </w:p>
        </w:tc>
        <w:tc>
          <w:tcPr>
            <w:tcW w:type="dxa" w:w="6221"/>
            <w:shd w:fill="0200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Backend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15 pruebas pasadas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Ruff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PASS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TypeScript y lint frontend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PASS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Build frontend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PASS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Playwright E2E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2 pruebas pasadas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npm audit nivel high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0 vulnerabilidades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E2E de archivo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3 leídos, 2 insertados, 1 rechazado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E2E PostgreSQL real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Conexión, discovery, preview, extracción y watermark validados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Repetición PostgreSQL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0 filas nuevas en la segunda extracción</w:t>
            </w:r>
          </w:p>
        </w:tc>
      </w:tr>
      <w:tr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Schedule CRON</w:t>
            </w:r>
          </w:p>
        </w:tc>
        <w:tc>
          <w:tcPr>
            <w:tcW w:type="dxa" w:w="5026"/>
            <w:shd w:fill="EEF2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Ejecución, pausa y activación validadas</w:t>
            </w:r>
          </w:p>
        </w:tc>
      </w:tr>
      <w:tr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/>
                <w:color w:val="1F2937"/>
                <w:sz w:val="17"/>
              </w:rPr>
              <w:t>Responsive</w:t>
            </w:r>
          </w:p>
        </w:tc>
        <w:tc>
          <w:tcPr>
            <w:tcW w:type="dxa" w:w="502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color w:val="1F2937"/>
                <w:sz w:val="17"/>
              </w:rPr>
              <w:t>1920x1080, 1440x900 y 1366x768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1F2937"/>
        </w:rPr>
        <w:t>El benchmark del reader procesó 100.000 filas a 1.114.406 filas por segundo en el equipo de desarrollo. Es una referencia de lectura local y no constituye un SLO de producción.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7 Alcance pendiente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Ejecutar E2E con servidores reales de SQL Server, MySQL, MariaDB, Oracle y Db2, además de instalar sus drivers.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Medir throughput de PostgreSQL con un dataset grande y definir un SLO.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Incorporar autenticación multiusuario, roles y RBAC cuando se definan proveedor de identidad y políticas.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Reducir la deuda de tipado estricto de mypy y migrar avisos deprecados de FastAPI en un sprint técnico.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8 Checklist de entrega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☐ Crear el repositorio privado en GitHub.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☐ Revisar git diff --cached y confirmar que no hay secretos.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☐ Hacer el primer commit y git push a main.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☐ Compartir URL del repositorio y este reporte.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☐ Confirmar que el receptor tiene Docker Desktop, Python 3.11 o superior y Node 20 o superior.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F2937"/>
          <w:sz w:val="20"/>
        </w:rPr>
        <w:t>☐ Entregar credenciales locales solo como datos de desarrollo.</w:t>
      </w:r>
    </w:p>
    <w:p>
      <w:pPr>
        <w:pStyle w:val="Heading1"/>
        <w:keepNext/>
      </w:pPr>
      <w:r>
        <w:rPr>
          <w:rFonts w:ascii="Aptos" w:hAnsi="Aptos"/>
          <w:b/>
          <w:color w:val="000000"/>
          <w:sz w:val="34"/>
        </w:rPr>
        <w:t>9 Conclusión</w:t>
      </w:r>
    </w:p>
    <w:p>
      <w:pPr>
        <w:spacing w:after="120" w:line="269" w:lineRule="auto"/>
      </w:pPr>
      <w:r>
        <w:rPr>
          <w:rFonts w:ascii="Aptos" w:hAnsi="Aptos"/>
          <w:color w:val="1F2937"/>
        </w:rPr>
        <w:t>El módulo está listo como MVP funcional local first. El flujo completo de configurar una fuente, previsualizar, validar, cargar, rechazar, consultar evidencia, repetir de forma idempotente, programar ejecuciones y extraer desde PostgreSQL está implementado y validado.</w:t>
      </w:r>
    </w:p>
    <w:sectPr w:rsidR="00FC693F" w:rsidRPr="0006063C" w:rsidSect="00034616">
      <w:footerReference w:type="default" r:id="rId9"/>
      <w:pgSz w:w="12240" w:h="15840"/>
      <w:pgMar w:top="1037" w:right="1094" w:bottom="936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right"/>
    </w:pPr>
    <w:r>
      <w:rPr>
        <w:rFonts w:ascii="Aptos" w:hAnsi="Aptos"/>
        <w:color w:val="667085"/>
        <w:sz w:val="16"/>
      </w:rPr>
      <w:t xml:space="preserve">Kiriox Continuous Assurance  |  Reporte de sprint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Aptos" w:hAnsi="Aptos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del Sprint Kiriox Continuous Assurance</dc:title>
  <dc:subject>Reporte ejecutivo y guía de validación del MVP</dc:subject>
  <dc:creator>Equipo de desarrollo Kiriox</dc:creator>
  <cp:keywords>Kiriox, sprint, MVP, ingesta, auditoría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