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40" w:after="140"/>
      </w:pPr>
      <w:r>
        <w:rPr>
          <w:color w:val="000000"/>
        </w:rPr>
        <w:t>AI Legal Decision Intelligence Engine</w:t>
      </w:r>
    </w:p>
    <w:p>
      <w:pPr>
        <w:pStyle w:val="Subtitle"/>
      </w:pPr>
      <w:r>
        <w:t>Project Owner and Advocate Input Guide</w:t>
      </w:r>
    </w:p>
    <w:p>
      <w:pPr>
        <w:spacing w:after="100" w:line="252" w:lineRule="auto"/>
      </w:pPr>
      <w:r>
        <w:rPr>
          <w:rFonts w:ascii="Aptos" w:hAnsi="Aptos"/>
          <w:sz w:val="18"/>
        </w:rPr>
        <w:t>A module-by-module checklist of the remaining implementation work, the decisions and examples needed from the project owner or an advocate, the preferred solution, and the format for supplying each input.</w:t>
      </w:r>
    </w:p>
    <w:p>
      <w:pPr>
        <w:spacing w:after="100" w:line="252" w:lineRule="auto"/>
      </w:pPr>
      <w:r>
        <w:rPr>
          <w:rFonts w:ascii="Aptos" w:hAnsi="Aptos"/>
          <w:sz w:val="18"/>
        </w:rPr>
        <w:t>Prepared for: prototype completion and evaluator preparation</w:t>
      </w:r>
    </w:p>
    <w:p>
      <w:pPr>
        <w:spacing w:after="100" w:line="252" w:lineRule="auto"/>
      </w:pPr>
      <w:r>
        <w:rPr>
          <w:rFonts w:ascii="Aptos" w:hAnsi="Aptos"/>
          <w:sz w:val="18"/>
        </w:rPr>
        <w:t>Status basis: project plans, repository notes, and implementation report dated 4 October 2026</w:t>
      </w:r>
    </w:p>
    <w:p>
      <w:pPr>
        <w:pStyle w:val="Heading1"/>
        <w:keepNext/>
      </w:pPr>
      <w:r>
        <w:rPr>
          <w:rFonts w:ascii="Aptos Display" w:hAnsi="Aptos Display"/>
          <w:color w:val="153E34"/>
        </w:rPr>
        <w:t>How to use this guide</w:t>
      </w:r>
    </w:p>
    <w:p>
      <w:pPr>
        <w:spacing w:after="100" w:line="252" w:lineRule="auto"/>
      </w:pPr>
      <w:r>
        <w:rPr>
          <w:rFonts w:ascii="Aptos" w:hAnsi="Aptos"/>
          <w:sz w:val="18"/>
        </w:rPr>
        <w:t>For each module, first review the developer work list. Then provide only the owner or advocate inputs marked required for the feature you intend to complete. Items marked optional can wait. The examples show the shape of a useful input; they are not real legal data or legal advice.</w:t>
      </w:r>
    </w:p>
    <w:tbl>
      <w:tblPr>
        <w:tblStyle w:val="TableGrid"/>
        <w:tblW w:type="auto" w:w="0"/>
        <w:jc w:val="center"/>
        <w:tblLayout w:type="fixed"/>
        <w:tblLook w:firstColumn="1" w:firstRow="1" w:lastColumn="0" w:lastRow="0" w:noHBand="0" w:noVBand="1" w:val="04A0"/>
      </w:tblPr>
      <w:tblGrid>
        <w:gridCol w:w="2160"/>
        <w:gridCol w:w="7704"/>
      </w:tblGrid>
      <w:tr>
        <w:trPr>
          <w:cantSplit/>
          <w:tblHeader/>
        </w:trPr>
        <w:tc>
          <w:tcPr>
            <w:tcW w:type="dxa" w:w="2160"/>
            <w:vAlign w:val="center"/>
            <w:shd w:fill="153E34"/>
          </w:tcPr>
          <w:p>
            <w:pPr>
              <w:spacing w:after="20" w:line="240" w:lineRule="auto"/>
            </w:pPr>
            <w:r/>
            <w:r>
              <w:rPr>
                <w:rFonts w:ascii="Aptos" w:hAnsi="Aptos"/>
                <w:b/>
                <w:color w:val="FFFFFF"/>
                <w:sz w:val="16"/>
              </w:rPr>
              <w:t>Label</w:t>
            </w:r>
          </w:p>
        </w:tc>
        <w:tc>
          <w:tcPr>
            <w:tcW w:type="dxa" w:w="7704"/>
            <w:vAlign w:val="center"/>
            <w:shd w:fill="153E34"/>
          </w:tcPr>
          <w:p>
            <w:pPr>
              <w:spacing w:after="20" w:line="240" w:lineRule="auto"/>
            </w:pPr>
            <w:r/>
            <w:r>
              <w:rPr>
                <w:rFonts w:ascii="Aptos" w:hAnsi="Aptos"/>
                <w:b/>
                <w:color w:val="FFFFFF"/>
                <w:sz w:val="16"/>
              </w:rPr>
              <w:t>Meaning</w:t>
            </w:r>
          </w:p>
        </w:tc>
      </w:tr>
      <w:tr>
        <w:trPr>
          <w:cantSplit/>
        </w:trPr>
        <w:tc>
          <w:tcPr>
            <w:tcW w:type="dxa" w:w="2160"/>
            <w:vAlign w:val="center"/>
          </w:tcPr>
          <w:p>
            <w:pPr>
              <w:spacing w:after="20" w:line="240" w:lineRule="auto"/>
            </w:pPr>
            <w:r/>
            <w:r>
              <w:rPr>
                <w:rFonts w:ascii="Aptos" w:hAnsi="Aptos"/>
                <w:b w:val="0"/>
                <w:color w:val="152520"/>
                <w:sz w:val="16"/>
              </w:rPr>
              <w:t>Developer work</w:t>
            </w:r>
          </w:p>
        </w:tc>
        <w:tc>
          <w:tcPr>
            <w:tcW w:type="dxa" w:w="7704"/>
            <w:vAlign w:val="center"/>
          </w:tcPr>
          <w:p>
            <w:pPr>
              <w:spacing w:after="20" w:line="240" w:lineRule="auto"/>
            </w:pPr>
            <w:r/>
            <w:r>
              <w:rPr>
                <w:rFonts w:ascii="Aptos" w:hAnsi="Aptos"/>
                <w:b w:val="0"/>
                <w:color w:val="152520"/>
                <w:sz w:val="16"/>
              </w:rPr>
              <w:t>Code, configuration, integration, tests, evaluation scripts, or documentation to complete.</w:t>
            </w:r>
          </w:p>
        </w:tc>
      </w:tr>
      <w:tr>
        <w:trPr>
          <w:cantSplit/>
        </w:trPr>
        <w:tc>
          <w:tcPr>
            <w:tcW w:type="dxa" w:w="2160"/>
            <w:vAlign w:val="center"/>
            <w:shd w:fill="F1F6F3"/>
          </w:tcPr>
          <w:p>
            <w:pPr>
              <w:spacing w:after="20" w:line="240" w:lineRule="auto"/>
            </w:pPr>
            <w:r/>
            <w:r>
              <w:rPr>
                <w:rFonts w:ascii="Aptos" w:hAnsi="Aptos"/>
                <w:b w:val="0"/>
                <w:color w:val="152520"/>
                <w:sz w:val="16"/>
              </w:rPr>
              <w:t>Advocate input</w:t>
            </w:r>
          </w:p>
        </w:tc>
        <w:tc>
          <w:tcPr>
            <w:tcW w:type="dxa" w:w="7704"/>
            <w:vAlign w:val="center"/>
            <w:shd w:fill="F1F6F3"/>
          </w:tcPr>
          <w:p>
            <w:pPr>
              <w:spacing w:after="20" w:line="240" w:lineRule="auto"/>
            </w:pPr>
            <w:r/>
            <w:r>
              <w:rPr>
                <w:rFonts w:ascii="Aptos" w:hAnsi="Aptos"/>
                <w:b w:val="0"/>
                <w:color w:val="152520"/>
                <w:sz w:val="16"/>
              </w:rPr>
              <w:t>Legal labels, reviewed examples, legal rules, interpretations, or usability decisions that require legal-domain judgment.</w:t>
            </w:r>
          </w:p>
        </w:tc>
      </w:tr>
      <w:tr>
        <w:trPr>
          <w:cantSplit/>
        </w:trPr>
        <w:tc>
          <w:tcPr>
            <w:tcW w:type="dxa" w:w="2160"/>
            <w:vAlign w:val="center"/>
          </w:tcPr>
          <w:p>
            <w:pPr>
              <w:spacing w:after="20" w:line="240" w:lineRule="auto"/>
            </w:pPr>
            <w:r/>
            <w:r>
              <w:rPr>
                <w:rFonts w:ascii="Aptos" w:hAnsi="Aptos"/>
                <w:b w:val="0"/>
                <w:color w:val="152520"/>
                <w:sz w:val="16"/>
              </w:rPr>
              <w:t>Project-owner input</w:t>
            </w:r>
          </w:p>
        </w:tc>
        <w:tc>
          <w:tcPr>
            <w:tcW w:type="dxa" w:w="7704"/>
            <w:vAlign w:val="center"/>
          </w:tcPr>
          <w:p>
            <w:pPr>
              <w:spacing w:after="20" w:line="240" w:lineRule="auto"/>
            </w:pPr>
            <w:r/>
            <w:r>
              <w:rPr>
                <w:rFonts w:ascii="Aptos" w:hAnsi="Aptos"/>
                <w:b w:val="0"/>
                <w:color w:val="152520"/>
                <w:sz w:val="16"/>
              </w:rPr>
              <w:t>Product scope, provider/data policy, access model, hosting, retention, or other project decisions.</w:t>
            </w:r>
          </w:p>
        </w:tc>
      </w:tr>
      <w:tr>
        <w:trPr>
          <w:cantSplit/>
        </w:trPr>
        <w:tc>
          <w:tcPr>
            <w:tcW w:type="dxa" w:w="2160"/>
            <w:vAlign w:val="center"/>
            <w:shd w:fill="F1F6F3"/>
          </w:tcPr>
          <w:p>
            <w:pPr>
              <w:spacing w:after="20" w:line="240" w:lineRule="auto"/>
            </w:pPr>
            <w:r/>
            <w:r>
              <w:rPr>
                <w:rFonts w:ascii="Aptos" w:hAnsi="Aptos"/>
                <w:b w:val="0"/>
                <w:color w:val="152520"/>
                <w:sz w:val="16"/>
              </w:rPr>
              <w:t>Preferred solution</w:t>
            </w:r>
          </w:p>
        </w:tc>
        <w:tc>
          <w:tcPr>
            <w:tcW w:type="dxa" w:w="7704"/>
            <w:vAlign w:val="center"/>
            <w:shd w:fill="F1F6F3"/>
          </w:tcPr>
          <w:p>
            <w:pPr>
              <w:spacing w:after="20" w:line="240" w:lineRule="auto"/>
            </w:pPr>
            <w:r/>
            <w:r>
              <w:rPr>
                <w:rFonts w:ascii="Aptos" w:hAnsi="Aptos"/>
                <w:b w:val="0"/>
                <w:color w:val="152520"/>
                <w:sz w:val="16"/>
              </w:rPr>
              <w:t>Recommended first implementation path based on current plans and prototype.</w:t>
            </w:r>
          </w:p>
        </w:tc>
      </w:tr>
    </w:tbl>
    <w:p>
      <w:pPr>
        <w:spacing w:after="20"/>
      </w:pPr>
    </w:p>
    <w:p>
      <w:pPr>
        <w:pStyle w:val="Heading2"/>
        <w:keepNext/>
      </w:pPr>
      <w:r>
        <w:rPr>
          <w:rFonts w:ascii="Aptos Display" w:hAnsi="Aptos Display"/>
          <w:color w:val="153E34"/>
        </w:rPr>
        <w:t>Start here: highest-priority inputs</w:t>
      </w:r>
    </w:p>
    <w:p>
      <w:pPr>
        <w:pStyle w:val="ListBullet"/>
        <w:keepLines/>
        <w:spacing w:after="40"/>
      </w:pPr>
      <w:r>
        <w:rPr>
          <w:rFonts w:ascii="Aptos" w:hAnsi="Aptos"/>
          <w:sz w:val="18"/>
        </w:rPr>
        <w:t>Agree the Module 2 sentence-label policy, then prepare a reviewed pleading/affidavit pilot.</w:t>
      </w:r>
    </w:p>
    <w:p>
      <w:pPr>
        <w:pStyle w:val="ListBullet"/>
        <w:keepLines/>
        <w:spacing w:after="40"/>
      </w:pPr>
      <w:r>
        <w:rPr>
          <w:rFonts w:ascii="Aptos" w:hAnsi="Aptos"/>
          <w:sz w:val="18"/>
        </w:rPr>
        <w:t>Prepare representative relation pairs for Module 3 and question-to-passage relevance labels for Module 4.</w:t>
      </w:r>
    </w:p>
    <w:p>
      <w:pPr>
        <w:pStyle w:val="ListBullet"/>
        <w:keepLines/>
        <w:spacing w:after="40"/>
      </w:pPr>
      <w:r>
        <w:rPr>
          <w:rFonts w:ascii="Aptos" w:hAnsi="Aptos"/>
          <w:sz w:val="18"/>
        </w:rPr>
        <w:t>Review claim/source pairs for Module 6; these are needed to calibrate semantic verification.</w:t>
      </w:r>
    </w:p>
    <w:p>
      <w:pPr>
        <w:pStyle w:val="ListBullet"/>
        <w:keepLines/>
        <w:spacing w:after="40"/>
      </w:pPr>
      <w:r>
        <w:rPr>
          <w:rFonts w:ascii="Aptos" w:hAnsi="Aptos"/>
          <w:sz w:val="18"/>
        </w:rPr>
        <w:t>Select one case type and jurisdiction for Module 7, then have an advocate approve its checklist and date rules.</w:t>
      </w:r>
    </w:p>
    <w:p>
      <w:pPr>
        <w:pStyle w:val="ListBullet"/>
        <w:keepLines/>
        <w:spacing w:after="40"/>
      </w:pPr>
      <w:r>
        <w:rPr>
          <w:rFonts w:ascii="Aptos" w:hAnsi="Aptos"/>
          <w:sz w:val="18"/>
        </w:rPr>
        <w:t>Decide whether Module 8 stays as evidence-gap explanations or adds a weighted review-priority indicator.</w:t>
      </w:r>
    </w:p>
    <w:p>
      <w:pPr>
        <w:pStyle w:val="ListBullet"/>
        <w:keepLines/>
        <w:spacing w:after="40"/>
      </w:pPr>
      <w:r>
        <w:rPr>
          <w:rFonts w:ascii="Aptos" w:hAnsi="Aptos"/>
          <w:sz w:val="18"/>
        </w:rPr>
        <w:t>Confirm Gemini/provider terms and deployment/security decisions before production-style use.</w:t>
      </w:r>
    </w:p>
    <w:p>
      <w:pPr>
        <w:spacing w:after="100" w:line="252" w:lineRule="auto"/>
      </w:pPr>
      <w:r>
        <w:rPr>
          <w:rFonts w:ascii="Aptos" w:hAnsi="Aptos"/>
          <w:sz w:val="18"/>
        </w:rPr>
        <w:t>The application can be demonstrated with synthetic examples while these legal-quality inputs are being prepared. Synthetic examples establish that a flow runs; they do not establish accuracy.</w:t>
      </w:r>
    </w:p>
    <w:p>
      <w:r>
        <w:br w:type="page"/>
      </w:r>
    </w:p>
    <w:p>
      <w:pPr>
        <w:pStyle w:val="Heading1"/>
        <w:keepNext/>
      </w:pPr>
      <w:r>
        <w:rPr>
          <w:rFonts w:ascii="Aptos Display" w:hAnsi="Aptos Display"/>
          <w:color w:val="153E34"/>
        </w:rPr>
        <w:t>Module 1 — Document ingestion and preprocessing</w:t>
      </w:r>
    </w:p>
    <w:p>
      <w:pPr>
        <w:spacing w:after="100" w:line="252" w:lineRule="auto"/>
      </w:pPr>
      <w:r>
        <w:rPr>
          <w:rFonts w:ascii="Aptos" w:hAnsi="Aptos"/>
          <w:b/>
          <w:sz w:val="18"/>
        </w:rPr>
        <w:t>Goal.</w:t>
      </w:r>
      <w:r>
        <w:rPr>
          <w:rFonts w:ascii="Aptos" w:hAnsi="Aptos"/>
          <w:sz w:val="18"/>
        </w:rPr>
        <w:t xml:space="preserve"> Accept case documents, extract text and OCR where needed, preserve page/source locations, and show whether each file/page was readable.</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Verify the configured ClamAV command runs on uploaded files, handles scan errors safely, and has current signatures in the actual runtime.</w:t>
      </w:r>
    </w:p>
    <w:p>
      <w:pPr>
        <w:pStyle w:val="ListBullet"/>
        <w:keepLines/>
        <w:spacing w:after="40"/>
      </w:pPr>
      <w:r>
        <w:rPr>
          <w:rFonts w:ascii="Aptos" w:hAnsi="Aptos"/>
          <w:sz w:val="18"/>
        </w:rPr>
        <w:t>Record the current maximum file size, batch count, accepted formats, timeout and retry behavior in the UI/help material.</w:t>
      </w:r>
    </w:p>
    <w:p>
      <w:pPr>
        <w:pStyle w:val="ListBullet"/>
        <w:keepLines/>
        <w:spacing w:after="40"/>
      </w:pPr>
      <w:r>
        <w:rPr>
          <w:rFonts w:ascii="Aptos" w:hAnsi="Aptos"/>
          <w:sz w:val="18"/>
        </w:rPr>
        <w:t>If approved as scope, extend DOCX extraction to footnotes, comments and embedded attachments. The current path covers supported text/elements; full Word fidelity is not claimed.</w:t>
      </w:r>
    </w:p>
    <w:p>
      <w:pPr>
        <w:pStyle w:val="ListBullet"/>
        <w:keepLines/>
        <w:spacing w:after="40"/>
      </w:pPr>
      <w:r>
        <w:rPr>
          <w:rFonts w:ascii="Aptos" w:hAnsi="Aptos"/>
          <w:sz w:val="18"/>
        </w:rPr>
        <w:t>Keep local Tesseract as the first OCR provider. Add cloud OCR only if a measured coverage benchmark shows local OCR misses the agreed target.</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Project owner</w:t>
            </w:r>
          </w:p>
        </w:tc>
        <w:tc>
          <w:tcPr>
            <w:tcW w:type="dxa" w:w="7632"/>
            <w:vAlign w:val="center"/>
          </w:tcPr>
          <w:p>
            <w:pPr>
              <w:spacing w:after="20" w:line="240" w:lineRule="auto"/>
            </w:pPr>
            <w:r/>
            <w:r>
              <w:rPr>
                <w:rFonts w:ascii="Aptos" w:hAnsi="Aptos"/>
                <w:b w:val="0"/>
                <w:color w:val="152520"/>
                <w:sz w:val="16"/>
              </w:rPr>
              <w:t>Decide whether footnotes, comments and embedded attachments must be supported in the first evaluator prototype. Current agreed first-pass language is English; no new language decision is needed.</w:t>
              <w:br/>
              <w:br/>
              <w:t>Preferred input: A short scope decision: `DOCX extras: required / deferred`; `Languages: English for prototype`; `Cloud OCR: only if Tesseract benchmark misses target`.</w:t>
              <w:br/>
              <w:br/>
              <w:t>Why/status: Required only to expand scope; ordinary AV and limit verification needs no owner data.</w:t>
            </w:r>
          </w:p>
        </w:tc>
      </w:tr>
      <w:tr>
        <w:trPr>
          <w:cantSplit/>
        </w:trPr>
        <w:tc>
          <w:tcPr>
            <w:tcW w:type="dxa" w:w="2232"/>
            <w:vAlign w:val="center"/>
            <w:shd w:fill="F1F6F3"/>
          </w:tcPr>
          <w:p>
            <w:pPr>
              <w:spacing w:after="20" w:line="240" w:lineRule="auto"/>
            </w:pPr>
            <w:r/>
            <w:r>
              <w:rPr>
                <w:rFonts w:ascii="Aptos" w:hAnsi="Aptos"/>
                <w:b w:val="0"/>
                <w:color w:val="152520"/>
                <w:sz w:val="16"/>
              </w:rPr>
              <w:t>Advocate</w:t>
            </w:r>
          </w:p>
        </w:tc>
        <w:tc>
          <w:tcPr>
            <w:tcW w:type="dxa" w:w="7632"/>
            <w:vAlign w:val="center"/>
            <w:shd w:fill="F1F6F3"/>
          </w:tcPr>
          <w:p>
            <w:pPr>
              <w:spacing w:after="20" w:line="240" w:lineRule="auto"/>
            </w:pPr>
            <w:r/>
            <w:r>
              <w:rPr>
                <w:rFonts w:ascii="Aptos" w:hAnsi="Aptos"/>
                <w:b w:val="0"/>
                <w:color w:val="152520"/>
                <w:sz w:val="16"/>
              </w:rPr>
              <w:t>Review whether extracted page coverage and unreadable/partial states are understandable for the document types used in the demo.</w:t>
              <w:br/>
              <w:br/>
              <w:t>Preferred input: A review sheet with document type, expected page count, pages containing text, and any missed material.</w:t>
              <w:br/>
              <w:br/>
              <w:t>Why/status: Helpful review; no legal annotation dataset is needed for Module 1.</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Use PyMuPDF/python-docx plus English Tesseract locally, keep per-page coverage and OCR confidence visible, and make cloud OCR a benchmark-driven adapter rather than a required provider.</w:t>
      </w:r>
    </w:p>
    <w:p>
      <w:pPr>
        <w:pStyle w:val="Heading2"/>
        <w:keepNext/>
      </w:pPr>
      <w:r>
        <w:rPr>
          <w:rFonts w:ascii="Aptos Display" w:hAnsi="Aptos Display"/>
          <w:color w:val="153E34"/>
        </w:rPr>
        <w:t>Completion check</w:t>
      </w:r>
    </w:p>
    <w:p>
      <w:pPr>
        <w:spacing w:after="100" w:line="252" w:lineRule="auto"/>
      </w:pPr>
      <w:r>
        <w:rPr>
          <w:rFonts w:ascii="Aptos" w:hAnsi="Aptos"/>
          <w:sz w:val="18"/>
        </w:rPr>
        <w:t>A controlled set of digital PDF, scanned PDF, DOCX and image files uploads; each page is accounted for as read, partial or unreadable; source locators open the correct page; scan failure is visible and retryable.</w:t>
      </w:r>
    </w:p>
    <w:p>
      <w:r>
        <w:br w:type="page"/>
      </w:r>
    </w:p>
    <w:p>
      <w:pPr>
        <w:pStyle w:val="Heading1"/>
        <w:keepNext/>
      </w:pPr>
      <w:r>
        <w:rPr>
          <w:rFonts w:ascii="Aptos Display" w:hAnsi="Aptos Display"/>
          <w:color w:val="153E34"/>
        </w:rPr>
        <w:t>Module 2 — Structured information extraction</w:t>
      </w:r>
    </w:p>
    <w:p>
      <w:pPr>
        <w:spacing w:after="100" w:line="252" w:lineRule="auto"/>
      </w:pPr>
      <w:r>
        <w:rPr>
          <w:rFonts w:ascii="Aptos" w:hAnsi="Aptos"/>
          <w:b/>
          <w:sz w:val="18"/>
        </w:rPr>
        <w:t>Goal.</w:t>
      </w:r>
      <w:r>
        <w:rPr>
          <w:rFonts w:ascii="Aptos" w:hAnsi="Aptos"/>
          <w:sz w:val="18"/>
        </w:rPr>
        <w:t xml:space="preserve"> Turn cleaned text into sentence-level labels and source-linked legal entities/assertions that downstream contradiction, graph, retrieval and citation features can use.</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Publish a clear annotation guide and import/validation path for fact/issue/irrelevant labels.</w:t>
      </w:r>
    </w:p>
    <w:p>
      <w:pPr>
        <w:pStyle w:val="ListBullet"/>
        <w:keepLines/>
        <w:spacing w:after="40"/>
      </w:pPr>
      <w:r>
        <w:rPr>
          <w:rFonts w:ascii="Aptos" w:hAnsi="Aptos"/>
          <w:sz w:val="18"/>
        </w:rPr>
        <w:t>Evaluate Gemini plus deterministic regex/rules on a document-disjoint holdout. Report per-label precision, recall, F1, confusion matrix and ambiguity rate; do not treat Gemini confidence as calibrated.</w:t>
      </w:r>
    </w:p>
    <w:p>
      <w:pPr>
        <w:pStyle w:val="ListBullet"/>
        <w:keepLines/>
        <w:spacing w:after="40"/>
      </w:pPr>
      <w:r>
        <w:rPr>
          <w:rFonts w:ascii="Aptos" w:hAnsi="Aptos"/>
          <w:sz w:val="18"/>
        </w:rPr>
        <w:t>Evaluate an English legal NER candidate on target pleadings/affidavits. Keep the existing InLegalBERT role classifier separate; its seven judgment rhetorical roles do not implement this task.</w:t>
      </w:r>
    </w:p>
    <w:p>
      <w:pPr>
        <w:pStyle w:val="ListBullet"/>
        <w:keepLines/>
        <w:spacing w:after="40"/>
      </w:pPr>
      <w:r>
        <w:rPr>
          <w:rFonts w:ascii="Aptos" w:hAnsi="Aptos"/>
          <w:sz w:val="18"/>
        </w:rPr>
        <w:t>Add model/prompt/version and extraction coverage to each analysis record. Use OCR confidence to flag weak source text before extraction is relied on.</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(required)</w:t>
            </w:r>
          </w:p>
        </w:tc>
        <w:tc>
          <w:tcPr>
            <w:tcW w:type="dxa" w:w="7632"/>
            <w:vAlign w:val="center"/>
          </w:tcPr>
          <w:p>
            <w:pPr>
              <w:spacing w:after="20" w:line="240" w:lineRule="auto"/>
            </w:pPr>
            <w:r/>
            <w:r>
              <w:rPr>
                <w:rFonts w:ascii="Aptos" w:hAnsi="Aptos"/>
                <w:b w:val="0"/>
                <w:color w:val="152520"/>
                <w:sz w:val="16"/>
              </w:rPr>
              <w:t>Define what fact, issue and irrelevant mean for plaints, written statements, affidavits and other agreed document types. Decide treatment for allegations, denials, mixed fact/legal sentences, legal grounds, procedure and boilerplate.</w:t>
              <w:br/>
              <w:br/>
              <w:t>Preferred input: A signed-off label policy plus a CSV/XLSX with one extracted sentence per row. Suggested columns: `document_id, document_type, page_num, start_char, end_char, sentence_text, label, rationale, review_status, reviewer_id`.</w:t>
              <w:br/>
              <w:br/>
              <w:t>Why/status: Required before claiming target-domain classification accuracy or training a task-specific classifier.</w:t>
            </w:r>
          </w:p>
        </w:tc>
      </w:tr>
      <w:tr>
        <w:trPr>
          <w:cantSplit/>
        </w:trPr>
        <w:tc>
          <w:tcPr>
            <w:tcW w:type="dxa" w:w="2232"/>
            <w:vAlign w:val="center"/>
            <w:shd w:fill="F1F6F3"/>
          </w:tcPr>
          <w:p>
            <w:pPr>
              <w:spacing w:after="20" w:line="240" w:lineRule="auto"/>
            </w:pPr>
            <w:r/>
            <w:r>
              <w:rPr>
                <w:rFonts w:ascii="Aptos" w:hAnsi="Aptos"/>
                <w:b w:val="0"/>
                <w:color w:val="152520"/>
                <w:sz w:val="16"/>
              </w:rPr>
              <w:t>Advocate (recommended)</w:t>
            </w:r>
          </w:p>
        </w:tc>
        <w:tc>
          <w:tcPr>
            <w:tcW w:type="dxa" w:w="7632"/>
            <w:vAlign w:val="center"/>
            <w:shd w:fill="F1F6F3"/>
          </w:tcPr>
          <w:p>
            <w:pPr>
              <w:spacing w:after="20" w:line="240" w:lineRule="auto"/>
            </w:pPr>
            <w:r/>
            <w:r>
              <w:rPr>
                <w:rFonts w:ascii="Aptos" w:hAnsi="Aptos"/>
                <w:b w:val="0"/>
                <w:color w:val="152520"/>
                <w:sz w:val="16"/>
              </w:rPr>
              <w:t>Label a pilot of about 100–200 passages from roughly 10–20 representative, anonymized pleadings/affidavits, including ambiguous and irrelevant/boilerplate examples. Keep whole documents/cases out of the evaluation split.</w:t>
              <w:br/>
              <w:br/>
              <w:t>Preferred input: Rows use the sentence schema above; `label` is exactly `fact`, `issue`, or `irrelevant`. Mark disagreements `needs_second_review`; retain the exact extracted text and locator.</w:t>
              <w:br/>
              <w:br/>
              <w:t>Why/status: This is the preferred first evaluation pilot, not enough by itself for a production-accuracy claim.</w:t>
            </w:r>
          </w:p>
        </w:tc>
      </w:tr>
      <w:tr>
        <w:trPr>
          <w:cantSplit/>
        </w:trPr>
        <w:tc>
          <w:tcPr>
            <w:tcW w:type="dxa" w:w="2232"/>
            <w:vAlign w:val="center"/>
          </w:tcPr>
          <w:p>
            <w:pPr>
              <w:spacing w:after="20" w:line="240" w:lineRule="auto"/>
            </w:pPr>
            <w:r/>
            <w:r>
              <w:rPr>
                <w:rFonts w:ascii="Aptos" w:hAnsi="Aptos"/>
                <w:b w:val="0"/>
                <w:color w:val="152520"/>
                <w:sz w:val="16"/>
              </w:rPr>
              <w:t>Advocate (separate optional task)</w:t>
            </w:r>
          </w:p>
        </w:tc>
        <w:tc>
          <w:tcPr>
            <w:tcW w:type="dxa" w:w="7632"/>
            <w:vAlign w:val="center"/>
          </w:tcPr>
          <w:p>
            <w:pPr>
              <w:spacing w:after="20" w:line="240" w:lineRule="auto"/>
            </w:pPr>
            <w:r/>
            <w:r>
              <w:rPr>
                <w:rFonts w:ascii="Aptos" w:hAnsi="Aptos"/>
                <w:b w:val="0"/>
                <w:color w:val="152520"/>
                <w:sz w:val="16"/>
              </w:rPr>
              <w:t>If local NER is to be enabled, mark exact entity spans separately from sentence classes.</w:t>
              <w:br/>
              <w:br/>
              <w:t>Preferred input: A separate span file: `document_id, page_num, entity_text, entity_label, start_char, end_char, reviewer_id, review_status`. Use agreed labels such as PERSON, PARTY, COURT, ORGANIZATION, PLACE, DATE, STATUTE, PROVISION, PRECEDENT, CASE_NUMBER. Amount can be added if approved.</w:t>
              <w:br/>
              <w:br/>
              <w:t>Why/status: Needed to measure target-domain NER; not a substitute for sentence labels.</w:t>
            </w:r>
          </w:p>
        </w:tc>
      </w:tr>
      <w:tr>
        <w:trPr>
          <w:cantSplit/>
        </w:trPr>
        <w:tc>
          <w:tcPr>
            <w:tcW w:type="dxa" w:w="2232"/>
            <w:vAlign w:val="center"/>
            <w:shd w:fill="F1F6F3"/>
          </w:tcPr>
          <w:p>
            <w:pPr>
              <w:spacing w:after="20" w:line="240" w:lineRule="auto"/>
            </w:pPr>
            <w:r/>
            <w:r>
              <w:rPr>
                <w:rFonts w:ascii="Aptos" w:hAnsi="Aptos"/>
                <w:b w:val="0"/>
                <w:color w:val="152520"/>
                <w:sz w:val="16"/>
              </w:rPr>
              <w:t>Project owner</w:t>
            </w:r>
          </w:p>
        </w:tc>
        <w:tc>
          <w:tcPr>
            <w:tcW w:type="dxa" w:w="7632"/>
            <w:vAlign w:val="center"/>
            <w:shd w:fill="F1F6F3"/>
          </w:tcPr>
          <w:p>
            <w:pPr>
              <w:spacing w:after="20" w:line="240" w:lineRule="auto"/>
            </w:pPr>
            <w:r/>
            <w:r>
              <w:rPr>
                <w:rFonts w:ascii="Aptos" w:hAnsi="Aptos"/>
                <w:b w:val="0"/>
                <w:color w:val="152520"/>
                <w:sz w:val="16"/>
              </w:rPr>
              <w:t>Choose which pleading/affidavit types the first evaluation represents and approve use of anonymized or redacted examples.</w:t>
              <w:br/>
              <w:br/>
              <w:t>Preferred input: A one-page scope note listing included document types and exclusions.</w:t>
              <w:br/>
              <w:br/>
              <w:t>Why/status: Needed to interpret evaluation results; no new model API key is required beyond configured Gemini.</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For the prototype, retain Gemini plus regex/rules and collect a small, advocate-reviewed target-domain set. Evaluate an off-the-shelf NER candidate before training anything. Train a dedicated classifier only if the labelled pilot shows a clear need and sufficient data.</w:t>
      </w:r>
    </w:p>
    <w:p>
      <w:pPr>
        <w:pStyle w:val="Heading2"/>
        <w:keepNext/>
      </w:pPr>
      <w:r>
        <w:rPr>
          <w:rFonts w:ascii="Aptos Display" w:hAnsi="Aptos Display"/>
          <w:color w:val="153E34"/>
        </w:rPr>
        <w:t>Completion check</w:t>
      </w:r>
    </w:p>
    <w:p>
      <w:pPr>
        <w:spacing w:after="100" w:line="252" w:lineRule="auto"/>
      </w:pPr>
      <w:r>
        <w:rPr>
          <w:rFonts w:ascii="Aptos" w:hAnsi="Aptos"/>
          <w:sz w:val="18"/>
        </w:rPr>
        <w:t>A versioned label policy, completed reviewed pilot, document-level train/validation/test separation, reproducible evaluation report, source offsets/page locations verified, and explicit statement that labels describe document role—not truth.</w:t>
      </w:r>
    </w:p>
    <w:p>
      <w:r>
        <w:br w:type="page"/>
      </w:r>
    </w:p>
    <w:p>
      <w:pPr>
        <w:pStyle w:val="Heading1"/>
        <w:keepNext/>
      </w:pPr>
      <w:r>
        <w:rPr>
          <w:rFonts w:ascii="Aptos Display" w:hAnsi="Aptos Display"/>
          <w:color w:val="153E34"/>
        </w:rPr>
        <w:t>Module 3 — Case knowledge graph construction</w:t>
      </w:r>
    </w:p>
    <w:p>
      <w:pPr>
        <w:spacing w:after="100" w:line="252" w:lineRule="auto"/>
      </w:pPr>
      <w:r>
        <w:rPr>
          <w:rFonts w:ascii="Aptos" w:hAnsi="Aptos"/>
          <w:b/>
          <w:sz w:val="18"/>
        </w:rPr>
        <w:t>Goal.</w:t>
      </w:r>
      <w:r>
        <w:rPr>
          <w:rFonts w:ascii="Aptos" w:hAnsi="Aptos"/>
          <w:sz w:val="18"/>
        </w:rPr>
        <w:t xml:space="preserve"> Represent parties, facts, issues, evidence, provisions and their relationships as source-linked nodes/edges for navigation and cross-document analysis.</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Create an advocate-reviewed graph-relation evaluation set; report quality separately for each edge type.</w:t>
      </w:r>
    </w:p>
    <w:p>
      <w:pPr>
        <w:pStyle w:val="ListBullet"/>
        <w:keepLines/>
        <w:spacing w:after="40"/>
      </w:pPr>
      <w:r>
        <w:rPr>
          <w:rFonts w:ascii="Aptos" w:hAnsi="Aptos"/>
          <w:sz w:val="18"/>
        </w:rPr>
        <w:t>Test incremental rebuilds after adding/replacing a document, stale-run behavior, case isolation, graph search latency and realistic matter size.</w:t>
      </w:r>
    </w:p>
    <w:p>
      <w:pPr>
        <w:pStyle w:val="ListBullet"/>
        <w:keepLines/>
        <w:spacing w:after="40"/>
      </w:pPr>
      <w:r>
        <w:rPr>
          <w:rFonts w:ascii="Aptos" w:hAnsi="Aptos"/>
          <w:sz w:val="18"/>
        </w:rPr>
        <w:t>Complete deployment-specific encrypted Neo4j storage and TLS checks before production use.</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(required for quality evaluation)</w:t>
            </w:r>
          </w:p>
        </w:tc>
        <w:tc>
          <w:tcPr>
            <w:tcW w:type="dxa" w:w="7632"/>
            <w:vAlign w:val="center"/>
          </w:tcPr>
          <w:p>
            <w:pPr>
              <w:spacing w:after="20" w:line="240" w:lineRule="auto"/>
            </w:pPr>
            <w:r/>
            <w:r>
              <w:rPr>
                <w:rFonts w:ascii="Aptos" w:hAnsi="Aptos"/>
                <w:b w:val="0"/>
                <w:color w:val="152520"/>
                <w:sz w:val="16"/>
              </w:rPr>
              <w:t>Review statement pairs and identify whether one supports, contradicts, applies to, or is unrelated to the other. Include apparent conflicts that turn out to concern different events.</w:t>
              <w:br/>
              <w:br/>
              <w:t>Preferred input: `relation_pairs.csv`: `case_id, statement_a_document, statement_a_page, statement_a_text, statement_b_document, statement_b_page, statement_b_text, relation, rationale, review_status`. Labels: `supports`, `contradicts`, `applies_to`, `unrelated`, optionally `needs_review` for unresolved pairs.</w:t>
              <w:br/>
              <w:br/>
              <w:t>Why/status: Needed to report relation accuracy; synthetic examples can verify the pipeline but not legal quality.</w:t>
            </w:r>
          </w:p>
        </w:tc>
      </w:tr>
      <w:tr>
        <w:trPr>
          <w:cantSplit/>
        </w:trPr>
        <w:tc>
          <w:tcPr>
            <w:tcW w:type="dxa" w:w="2232"/>
            <w:vAlign w:val="center"/>
            <w:shd w:fill="F1F6F3"/>
          </w:tcPr>
          <w:p>
            <w:pPr>
              <w:spacing w:after="20" w:line="240" w:lineRule="auto"/>
            </w:pPr>
            <w:r/>
            <w:r>
              <w:rPr>
                <w:rFonts w:ascii="Aptos" w:hAnsi="Aptos"/>
                <w:b w:val="0"/>
                <w:color w:val="152520"/>
                <w:sz w:val="16"/>
              </w:rPr>
              <w:t>Project owner</w:t>
            </w:r>
          </w:p>
        </w:tc>
        <w:tc>
          <w:tcPr>
            <w:tcW w:type="dxa" w:w="7632"/>
            <w:vAlign w:val="center"/>
            <w:shd w:fill="F1F6F3"/>
          </w:tcPr>
          <w:p>
            <w:pPr>
              <w:spacing w:after="20" w:line="240" w:lineRule="auto"/>
            </w:pPr>
            <w:r/>
            <w:r>
              <w:rPr>
                <w:rFonts w:ascii="Aptos" w:hAnsi="Aptos"/>
                <w:b w:val="0"/>
                <w:color w:val="152520"/>
                <w:sz w:val="16"/>
              </w:rPr>
              <w:t>Choose the first realistic matter size for latency testing and the intended production hosting/security environment.</w:t>
              <w:br/>
              <w:br/>
              <w:t>Preferred input: Approximate documents/pages per matter and target environment (local demo / named hosting environment).</w:t>
              <w:br/>
              <w:br/>
              <w:t>Why/status: Needed for performance and deployment verification, not for graph feature coding.</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Use heuristics to produce candidate pairs, then Gemini to classify selected pairs; keep every edge linked to its source passages and show uncertainty. Benchmark relation quality before treating edges as reliable.</w:t>
      </w:r>
    </w:p>
    <w:p>
      <w:pPr>
        <w:pStyle w:val="Heading2"/>
        <w:keepNext/>
      </w:pPr>
      <w:r>
        <w:rPr>
          <w:rFonts w:ascii="Aptos Display" w:hAnsi="Aptos Display"/>
          <w:color w:val="153E34"/>
        </w:rPr>
        <w:t>Completion check</w:t>
      </w:r>
    </w:p>
    <w:p>
      <w:pPr>
        <w:spacing w:after="100" w:line="252" w:lineRule="auto"/>
      </w:pPr>
      <w:r>
        <w:rPr>
          <w:rFonts w:ascii="Aptos" w:hAnsi="Aptos"/>
          <w:sz w:val="18"/>
        </w:rPr>
        <w:t>All graph nodes/edges resolve to source locators; new uploads rebuild or update the graph correctly; case-isolation and performance checks pass; relation metrics are reported from advocate-reviewed pairs.</w:t>
      </w:r>
    </w:p>
    <w:p>
      <w:r>
        <w:br w:type="page"/>
      </w:r>
    </w:p>
    <w:p>
      <w:pPr>
        <w:pStyle w:val="Heading1"/>
        <w:keepNext/>
      </w:pPr>
      <w:r>
        <w:rPr>
          <w:rFonts w:ascii="Aptos Display" w:hAnsi="Aptos Display"/>
          <w:color w:val="153E34"/>
        </w:rPr>
        <w:t>Module 4 — Grounded retrieval from case documents</w:t>
      </w:r>
    </w:p>
    <w:p>
      <w:pPr>
        <w:spacing w:after="100" w:line="252" w:lineRule="auto"/>
      </w:pPr>
      <w:r>
        <w:rPr>
          <w:rFonts w:ascii="Aptos" w:hAnsi="Aptos"/>
          <w:b/>
          <w:sz w:val="18"/>
        </w:rPr>
        <w:t>Goal.</w:t>
      </w:r>
      <w:r>
        <w:rPr>
          <w:rFonts w:ascii="Aptos" w:hAnsi="Aptos"/>
          <w:sz w:val="18"/>
        </w:rPr>
        <w:t xml:space="preserve"> Retrieve a compact, case-scoped set of relevant passages and graph nodes for a question, with citations and competing accounts preserved.</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Build a benchmark against BM25 and report Recall@k, precision@k, MRR/nDCG, citation coverage, latency, and case isolation.</w:t>
      </w:r>
    </w:p>
    <w:p>
      <w:pPr>
        <w:pStyle w:val="ListBullet"/>
        <w:keepLines/>
        <w:spacing w:after="40"/>
      </w:pPr>
      <w:r>
        <w:rPr>
          <w:rFonts w:ascii="Aptos" w:hAnsi="Aptos"/>
          <w:sz w:val="18"/>
        </w:rPr>
        <w:t>Check queries that have competing accounts so retrieval does not surface only one side.</w:t>
      </w:r>
    </w:p>
    <w:p>
      <w:pPr>
        <w:pStyle w:val="ListBullet"/>
        <w:keepLines/>
        <w:spacing w:after="40"/>
      </w:pPr>
      <w:r>
        <w:rPr>
          <w:rFonts w:ascii="Aptos" w:hAnsi="Aptos"/>
          <w:sz w:val="18"/>
        </w:rPr>
        <w:t>Decide on FAISS/vector infrastructure or cross-encoder reranking only if measured retrieval quality or case scale warrants it.</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(required for retrieval evaluation)</w:t>
            </w:r>
          </w:p>
        </w:tc>
        <w:tc>
          <w:tcPr>
            <w:tcW w:type="dxa" w:w="7632"/>
            <w:vAlign w:val="center"/>
          </w:tcPr>
          <w:p>
            <w:pPr>
              <w:spacing w:after="20" w:line="240" w:lineRule="auto"/>
            </w:pPr>
            <w:r/>
            <w:r>
              <w:rPr>
                <w:rFonts w:ascii="Aptos" w:hAnsi="Aptos"/>
                <w:b w:val="0"/>
                <w:color w:val="152520"/>
                <w:sz w:val="16"/>
              </w:rPr>
              <w:t>Provide representative questions and judge retrieved passages for relevance. Include chronology, parties, evidence support, conflicts and questions the record cannot answer.</w:t>
              <w:br/>
              <w:br/>
              <w:t>Preferred input: `retrieval_judgments.csv`: `case_id, question, passage_id, relevance, rationale`; relevance scale `0 = irrelevant`, `1 = related context`, `2 = directly answers`.</w:t>
              <w:br/>
              <w:br/>
              <w:t>Why/status: Needed for meaningful retrieval metrics; no dedicated vector database choice is required now.</w:t>
            </w:r>
          </w:p>
        </w:tc>
      </w:tr>
      <w:tr>
        <w:trPr>
          <w:cantSplit/>
        </w:trPr>
        <w:tc>
          <w:tcPr>
            <w:tcW w:type="dxa" w:w="2232"/>
            <w:vAlign w:val="center"/>
            <w:shd w:fill="F1F6F3"/>
          </w:tcPr>
          <w:p>
            <w:pPr>
              <w:spacing w:after="20" w:line="240" w:lineRule="auto"/>
            </w:pPr>
            <w:r/>
            <w:r>
              <w:rPr>
                <w:rFonts w:ascii="Aptos" w:hAnsi="Aptos"/>
                <w:b w:val="0"/>
                <w:color w:val="152520"/>
                <w:sz w:val="16"/>
              </w:rPr>
              <w:t>Project owner</w:t>
            </w:r>
          </w:p>
        </w:tc>
        <w:tc>
          <w:tcPr>
            <w:tcW w:type="dxa" w:w="7632"/>
            <w:vAlign w:val="center"/>
            <w:shd w:fill="F1F6F3"/>
          </w:tcPr>
          <w:p>
            <w:pPr>
              <w:spacing w:after="20" w:line="240" w:lineRule="auto"/>
            </w:pPr>
            <w:r/>
            <w:r>
              <w:rPr>
                <w:rFonts w:ascii="Aptos" w:hAnsi="Aptos"/>
                <w:b w:val="0"/>
                <w:color w:val="152520"/>
                <w:sz w:val="16"/>
              </w:rPr>
              <w:t>Provide expected scale if known (typical documents/pages per matter) and acceptable response time for a prototype demo.</w:t>
              <w:br/>
              <w:br/>
              <w:t>Preferred input: A short workload note, e.g. typical and largest expected matter size plus target response time.</w:t>
              <w:br/>
              <w:br/>
              <w:t>Why/status: Useful for deciding whether optional FAISS/reranking is justified; can be deferred until benchmark results.</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Keep BM25 plus graph hybrid search and reciprocal-rank fusion as the baseline. Add FAISS or a reranker only after the benchmark identifies a measurable gap.</w:t>
      </w:r>
    </w:p>
    <w:p>
      <w:pPr>
        <w:pStyle w:val="Heading2"/>
        <w:keepNext/>
      </w:pPr>
      <w:r>
        <w:rPr>
          <w:rFonts w:ascii="Aptos Display" w:hAnsi="Aptos Display"/>
          <w:color w:val="153E34"/>
        </w:rPr>
        <w:t>Completion check</w:t>
      </w:r>
    </w:p>
    <w:p>
      <w:pPr>
        <w:spacing w:after="100" w:line="252" w:lineRule="auto"/>
      </w:pPr>
      <w:r>
        <w:rPr>
          <w:rFonts w:ascii="Aptos" w:hAnsi="Aptos"/>
          <w:sz w:val="18"/>
        </w:rPr>
        <w:t>The benchmark is repeatable, reports baseline and hybrid results, includes both sides of planted conflicts, and confirms queries cannot retrieve another case’s data.</w:t>
      </w:r>
    </w:p>
    <w:p>
      <w:r>
        <w:br w:type="page"/>
      </w:r>
    </w:p>
    <w:p>
      <w:pPr>
        <w:pStyle w:val="Heading1"/>
        <w:keepNext/>
      </w:pPr>
      <w:r>
        <w:rPr>
          <w:rFonts w:ascii="Aptos Display" w:hAnsi="Aptos Display"/>
          <w:color w:val="153E34"/>
        </w:rPr>
        <w:t>Module 5 — Answer generation and case-wide summary</w:t>
      </w:r>
    </w:p>
    <w:p>
      <w:pPr>
        <w:spacing w:after="100" w:line="252" w:lineRule="auto"/>
      </w:pPr>
      <w:r>
        <w:rPr>
          <w:rFonts w:ascii="Aptos" w:hAnsi="Aptos"/>
          <w:b/>
          <w:sz w:val="18"/>
        </w:rPr>
        <w:t>Goal.</w:t>
      </w:r>
      <w:r>
        <w:rPr>
          <w:rFonts w:ascii="Aptos" w:hAnsi="Aptos"/>
          <w:sz w:val="18"/>
        </w:rPr>
        <w:t xml:space="preserve"> Answer case questions and summarize all readable case documents using retrieved evidence, with statement-level source links and safe uncertainty handling.</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Evaluate answer completeness, citation correctness, quote exactness, unsupported-question abstention and conflicting-account handling.</w:t>
      </w:r>
    </w:p>
    <w:p>
      <w:pPr>
        <w:pStyle w:val="ListBullet"/>
        <w:keepLines/>
        <w:spacing w:after="40"/>
      </w:pPr>
      <w:r>
        <w:rPr>
          <w:rFonts w:ascii="Aptos" w:hAnsi="Aptos"/>
          <w:sz w:val="18"/>
        </w:rPr>
        <w:t>Record Gemini model/prompt version and provider outcome; show which content a requested operation sends to the provider.</w:t>
      </w:r>
    </w:p>
    <w:p>
      <w:pPr>
        <w:pStyle w:val="ListBullet"/>
        <w:keepLines/>
        <w:spacing w:after="40"/>
      </w:pPr>
      <w:r>
        <w:rPr>
          <w:rFonts w:ascii="Aptos" w:hAnsi="Aptos"/>
          <w:sz w:val="18"/>
        </w:rPr>
        <w:t>Keep case allegations, recorded events, advocate notes and external law distinct in answer context and presentation.</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(required for answer evaluation)</w:t>
            </w:r>
          </w:p>
        </w:tc>
        <w:tc>
          <w:tcPr>
            <w:tcW w:type="dxa" w:w="7632"/>
            <w:vAlign w:val="center"/>
          </w:tcPr>
          <w:p>
            <w:pPr>
              <w:spacing w:after="20" w:line="240" w:lineRule="auto"/>
            </w:pPr>
            <w:r/>
            <w:r>
              <w:rPr>
                <w:rFonts w:ascii="Aptos" w:hAnsi="Aptos"/>
                <w:b w:val="0"/>
                <w:color w:val="152520"/>
                <w:sz w:val="16"/>
              </w:rPr>
              <w:t>For representative case questions, state the key points a complete answer should contain and which source passages support them. Include answerable, conflicting and unanswerable questions.</w:t>
              <w:br/>
              <w:br/>
              <w:t>Preferred input: `answer_review.jsonl` or CSV: `case_id, question, required_points, expected_source_ids, abstention_expected, reviewed_answer, issue_found, reviewer_id`.</w:t>
              <w:br/>
              <w:br/>
              <w:t>Why/status: Needed to assess answer quality beyond checking that a citation exists.</w:t>
            </w:r>
          </w:p>
        </w:tc>
      </w:tr>
      <w:tr>
        <w:trPr>
          <w:cantSplit/>
        </w:trPr>
        <w:tc>
          <w:tcPr>
            <w:tcW w:type="dxa" w:w="2232"/>
            <w:vAlign w:val="center"/>
            <w:shd w:fill="F1F6F3"/>
          </w:tcPr>
          <w:p>
            <w:pPr>
              <w:spacing w:after="20" w:line="240" w:lineRule="auto"/>
            </w:pPr>
            <w:r/>
            <w:r>
              <w:rPr>
                <w:rFonts w:ascii="Aptos" w:hAnsi="Aptos"/>
                <w:b w:val="0"/>
                <w:color w:val="152520"/>
                <w:sz w:val="16"/>
              </w:rPr>
              <w:t>Project owner (required for provider policy)</w:t>
            </w:r>
          </w:p>
        </w:tc>
        <w:tc>
          <w:tcPr>
            <w:tcW w:type="dxa" w:w="7632"/>
            <w:vAlign w:val="center"/>
            <w:shd w:fill="F1F6F3"/>
          </w:tcPr>
          <w:p>
            <w:pPr>
              <w:spacing w:after="20" w:line="240" w:lineRule="auto"/>
            </w:pPr>
            <w:r/>
            <w:r>
              <w:rPr>
                <w:rFonts w:ascii="Aptos" w:hAnsi="Aptos"/>
                <w:b w:val="0"/>
                <w:color w:val="152520"/>
                <w:sz w:val="16"/>
              </w:rPr>
              <w:t>Confirm the permitted Gemini plan/data tier and provider terms for the types of text sent by extraction, chat, summaries and selected legal research.</w:t>
              <w:br/>
              <w:br/>
              <w:t>Preferred input: Written decision naming allowed data types, configured model/tier, retention/training terms checked, and any redaction rule. Never put the API key in the document.</w:t>
              <w:br/>
              <w:br/>
              <w:t>Why/status: Required before sending confidential client/case text under the chosen operating policy.</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Keep Gemini generation, bounded case context, structured claim/source references, exact quote validation and safe fallback. Use reviewed questions to measure what is supported and what should be refused or qualified.</w:t>
      </w:r>
    </w:p>
    <w:p>
      <w:pPr>
        <w:pStyle w:val="Heading2"/>
        <w:keepNext/>
      </w:pPr>
      <w:r>
        <w:rPr>
          <w:rFonts w:ascii="Aptos Display" w:hAnsi="Aptos Display"/>
          <w:color w:val="153E34"/>
        </w:rPr>
        <w:t>Completion check</w:t>
      </w:r>
    </w:p>
    <w:p>
      <w:pPr>
        <w:spacing w:after="100" w:line="252" w:lineRule="auto"/>
      </w:pPr>
      <w:r>
        <w:rPr>
          <w:rFonts w:ascii="Aptos" w:hAnsi="Aptos"/>
          <w:sz w:val="18"/>
        </w:rPr>
        <w:t>Every material answer claim links to an existing source; cross-document summaries represent both accounts; unsupported questions state the record does not answer; evaluation and provider/model metadata are retained.</w:t>
      </w:r>
    </w:p>
    <w:p>
      <w:r>
        <w:br w:type="page"/>
      </w:r>
    </w:p>
    <w:p>
      <w:pPr>
        <w:pStyle w:val="Heading1"/>
        <w:keepNext/>
      </w:pPr>
      <w:r>
        <w:rPr>
          <w:rFonts w:ascii="Aptos Display" w:hAnsi="Aptos Display"/>
          <w:color w:val="153E34"/>
        </w:rPr>
        <w:t>Module 6 — Claim verification and explainability</w:t>
      </w:r>
    </w:p>
    <w:p>
      <w:pPr>
        <w:spacing w:after="100" w:line="252" w:lineRule="auto"/>
      </w:pPr>
      <w:r>
        <w:rPr>
          <w:rFonts w:ascii="Aptos" w:hAnsi="Aptos"/>
          <w:b/>
          <w:sz w:val="18"/>
        </w:rPr>
        <w:t>Goal.</w:t>
      </w:r>
      <w:r>
        <w:rPr>
          <w:rFonts w:ascii="Aptos" w:hAnsi="Aptos"/>
          <w:sz w:val="18"/>
        </w:rPr>
        <w:t xml:space="preserve"> Check whether each generated claim is supported by its cited passage, contradicted, only partly supported or unsupported, and explain the reason.</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Select and integrate an NLI/entailment candidate after a reproducible technical comparison; it need not be project-trained initially.</w:t>
      </w:r>
    </w:p>
    <w:p>
      <w:pPr>
        <w:pStyle w:val="ListBullet"/>
        <w:keepLines/>
        <w:spacing w:after="40"/>
      </w:pPr>
      <w:r>
        <w:rPr>
          <w:rFonts w:ascii="Aptos" w:hAnsi="Aptos"/>
          <w:sz w:val="18"/>
        </w:rPr>
        <w:t>Combine NLI output with citation integrity and similarity only after threshold calibration; keep raw scores labelled uncalibrated until evaluated.</w:t>
      </w:r>
    </w:p>
    <w:p>
      <w:pPr>
        <w:pStyle w:val="ListBullet"/>
        <w:keepLines/>
        <w:spacing w:after="40"/>
      </w:pPr>
      <w:r>
        <w:rPr>
          <w:rFonts w:ascii="Aptos" w:hAnsi="Aptos"/>
          <w:sz w:val="18"/>
        </w:rPr>
        <w:t>Return a human-readable reason and source link for weak, partial, contradictory or missing support.</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(required for calibration)</w:t>
            </w:r>
          </w:p>
        </w:tc>
        <w:tc>
          <w:tcPr>
            <w:tcW w:type="dxa" w:w="7632"/>
            <w:vAlign w:val="center"/>
          </w:tcPr>
          <w:p>
            <w:pPr>
              <w:spacing w:after="20" w:line="240" w:lineRule="auto"/>
            </w:pPr>
            <w:r/>
            <w:r>
              <w:rPr>
                <w:rFonts w:ascii="Aptos" w:hAnsi="Aptos"/>
                <w:b w:val="0"/>
                <w:color w:val="152520"/>
                <w:sz w:val="16"/>
              </w:rPr>
              <w:t>Review claim/source pairs and label the relationship between the claim and passage. Include partial support, contradiction, unrelated passage and exact quote that does not support the broader claim.</w:t>
              <w:br/>
              <w:br/>
              <w:t>Preferred input: `claim_support.csv`: `claim_id, claim_text, source_id, source_passage, label, rationale, reviewer_id`; labels `supported`, `partially_supported`, `contradicted`, `not_supported` (optionally `unclear`).</w:t>
              <w:br/>
              <w:br/>
              <w:t>Why/status: Required to set thresholds and claim measured verification quality.</w:t>
            </w:r>
          </w:p>
        </w:tc>
      </w:tr>
      <w:tr>
        <w:trPr>
          <w:cantSplit/>
        </w:trPr>
        <w:tc>
          <w:tcPr>
            <w:tcW w:type="dxa" w:w="2232"/>
            <w:vAlign w:val="center"/>
            <w:shd w:fill="F1F6F3"/>
          </w:tcPr>
          <w:p>
            <w:pPr>
              <w:spacing w:after="20" w:line="240" w:lineRule="auto"/>
            </w:pPr>
            <w:r/>
            <w:r>
              <w:rPr>
                <w:rFonts w:ascii="Aptos" w:hAnsi="Aptos"/>
                <w:b w:val="0"/>
                <w:color w:val="152520"/>
                <w:sz w:val="16"/>
              </w:rPr>
              <w:t>Project owner</w:t>
            </w:r>
          </w:p>
        </w:tc>
        <w:tc>
          <w:tcPr>
            <w:tcW w:type="dxa" w:w="7632"/>
            <w:vAlign w:val="center"/>
            <w:shd w:fill="F1F6F3"/>
          </w:tcPr>
          <w:p>
            <w:pPr>
              <w:spacing w:after="20" w:line="240" w:lineRule="auto"/>
            </w:pPr>
            <w:r/>
            <w:r>
              <w:rPr>
                <w:rFonts w:ascii="Aptos" w:hAnsi="Aptos"/>
                <w:b w:val="0"/>
                <w:color w:val="152520"/>
                <w:sz w:val="16"/>
              </w:rPr>
              <w:t>No model choice or key is required if a public pretrained candidate is used for local evaluation. Approve provider/data rules if any cloud model is evaluated on case text.</w:t>
              <w:br/>
              <w:br/>
              <w:t>Preferred input: Decision on local-only evaluation or approved provider/data tier.</w:t>
              <w:br/>
              <w:br/>
              <w:t>Why/status: Only required if evaluation sends case content outside the local environment.</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Begin with a local pretrained NLI candidate plus existing citation/quote checks. Do not train a verifier before testing candidates; use advocate-labelled claim/passage pairs to calibrate or reject it.</w:t>
      </w:r>
    </w:p>
    <w:p>
      <w:pPr>
        <w:pStyle w:val="Heading2"/>
        <w:keepNext/>
      </w:pPr>
      <w:r>
        <w:rPr>
          <w:rFonts w:ascii="Aptos Display" w:hAnsi="Aptos Display"/>
          <w:color w:val="153E34"/>
        </w:rPr>
        <w:t>Completion check</w:t>
      </w:r>
    </w:p>
    <w:p>
      <w:pPr>
        <w:spacing w:after="100" w:line="252" w:lineRule="auto"/>
      </w:pPr>
      <w:r>
        <w:rPr>
          <w:rFonts w:ascii="Aptos" w:hAnsi="Aptos"/>
          <w:sz w:val="18"/>
        </w:rPr>
        <w:t>Held-out per-class metrics are reported; thresholds are versioned; explanations cite the relevant text; the system does not equate similarity or exact quotation with proof of entailment.</w:t>
      </w:r>
    </w:p>
    <w:p>
      <w:r>
        <w:br w:type="page"/>
      </w:r>
    </w:p>
    <w:p>
      <w:pPr>
        <w:pStyle w:val="Heading1"/>
        <w:keepNext/>
      </w:pPr>
      <w:r>
        <w:rPr>
          <w:rFonts w:ascii="Aptos Display" w:hAnsi="Aptos Display"/>
          <w:color w:val="153E34"/>
        </w:rPr>
        <w:t>Module 7 — Procedural compliance checker</w:t>
      </w:r>
    </w:p>
    <w:p>
      <w:pPr>
        <w:spacing w:after="100" w:line="252" w:lineRule="auto"/>
      </w:pPr>
      <w:r>
        <w:rPr>
          <w:rFonts w:ascii="Aptos" w:hAnsi="Aptos"/>
          <w:b/>
          <w:sz w:val="18"/>
        </w:rPr>
        <w:t>Goal.</w:t>
      </w:r>
      <w:r>
        <w:rPr>
          <w:rFonts w:ascii="Aptos" w:hAnsi="Aptos"/>
          <w:sz w:val="18"/>
        </w:rPr>
        <w:t xml:space="preserve"> Compare a case against an advocate-approved procedural checklist and show each requirement as satisfied, missing or unclear with supporting sources.</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Implement versioned structured rules (for example YAML), deterministic date/interval logic, evidence matching and source-linked results.</w:t>
      </w:r>
    </w:p>
    <w:p>
      <w:pPr>
        <w:pStyle w:val="ListBullet"/>
        <w:keepLines/>
        <w:spacing w:after="40"/>
      </w:pPr>
      <w:r>
        <w:rPr>
          <w:rFonts w:ascii="Aptos" w:hAnsi="Aptos"/>
          <w:sz w:val="18"/>
        </w:rPr>
        <w:t>Add rule-level tests, rule version/source display, and an explicit unclear state when evidence or dates are ambiguous.</w:t>
      </w:r>
    </w:p>
    <w:p>
      <w:pPr>
        <w:pStyle w:val="ListBullet"/>
        <w:keepLines/>
        <w:spacing w:after="40"/>
      </w:pPr>
      <w:r>
        <w:rPr>
          <w:rFonts w:ascii="Aptos" w:hAnsi="Aptos"/>
          <w:sz w:val="18"/>
        </w:rPr>
        <w:t>Do not load or infer legal deadlines without an approved source and rule definition.</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Project owner + advocate (required)</w:t>
            </w:r>
          </w:p>
        </w:tc>
        <w:tc>
          <w:tcPr>
            <w:tcW w:type="dxa" w:w="7632"/>
            <w:vAlign w:val="center"/>
          </w:tcPr>
          <w:p>
            <w:pPr>
              <w:spacing w:after="20" w:line="240" w:lineRule="auto"/>
            </w:pPr>
            <w:r/>
            <w:r>
              <w:rPr>
                <w:rFonts w:ascii="Aptos" w:hAnsi="Aptos"/>
                <w:b w:val="0"/>
                <w:color w:val="152520"/>
                <w:sz w:val="16"/>
              </w:rPr>
              <w:t>Choose the first case type and jurisdiction; approve the checklist, authoritative source/version, triggering event, date calculation, exceptions, evidence requirement and ambiguity behavior.</w:t>
              <w:br/>
              <w:br/>
              <w:t>Preferred input: `checklist.yaml` or reviewed spreadsheet with `jurisdiction, case_type, rule_id, requirement, authority, source_version, trigger_event, date_logic, required_evidence, exception, result_states, reviewer`.</w:t>
              <w:br/>
              <w:br/>
              <w:t>Why/status: Blocks a meaningful compliance module. Keep scope to one initial case type/jurisdiction.</w:t>
            </w:r>
          </w:p>
        </w:tc>
      </w:tr>
      <w:tr>
        <w:trPr>
          <w:cantSplit/>
        </w:trPr>
        <w:tc>
          <w:tcPr>
            <w:tcW w:type="dxa" w:w="2232"/>
            <w:vAlign w:val="center"/>
            <w:shd w:fill="F1F6F3"/>
          </w:tcPr>
          <w:p>
            <w:pPr>
              <w:spacing w:after="20" w:line="240" w:lineRule="auto"/>
            </w:pPr>
            <w:r/>
            <w:r>
              <w:rPr>
                <w:rFonts w:ascii="Aptos" w:hAnsi="Aptos"/>
                <w:b w:val="0"/>
                <w:color w:val="152520"/>
                <w:sz w:val="16"/>
              </w:rPr>
              <w:t>Advocate (required)</w:t>
            </w:r>
          </w:p>
        </w:tc>
        <w:tc>
          <w:tcPr>
            <w:tcW w:type="dxa" w:w="7632"/>
            <w:vAlign w:val="center"/>
            <w:shd w:fill="F1F6F3"/>
          </w:tcPr>
          <w:p>
            <w:pPr>
              <w:spacing w:after="20" w:line="240" w:lineRule="auto"/>
            </w:pPr>
            <w:r/>
            <w:r>
              <w:rPr>
                <w:rFonts w:ascii="Aptos" w:hAnsi="Aptos"/>
                <w:b w:val="0"/>
                <w:color w:val="152520"/>
                <w:sz w:val="16"/>
              </w:rPr>
              <w:t>Provide representative complete, missing and ambiguous examples and expected outcomes for each checklist rule.</w:t>
              <w:br/>
              <w:br/>
              <w:t>Preferred input: `rule_examples.csv`: `rule_id, synthetic_case_facts, expected_status, expected_sources, rationale`.</w:t>
              <w:br/>
              <w:br/>
              <w:t>Why/status: Needed to verify rule behavior; use synthetic examples if client files are not appropriate.</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Start with one narrow case type and jurisdiction, a human-reviewed versioned checklist, deterministic date calculations, and `satisfied / missing / unclear` outputs. Expand only after the first rules are validated.</w:t>
      </w:r>
    </w:p>
    <w:p>
      <w:pPr>
        <w:pStyle w:val="Heading2"/>
        <w:keepNext/>
      </w:pPr>
      <w:r>
        <w:rPr>
          <w:rFonts w:ascii="Aptos Display" w:hAnsi="Aptos Display"/>
          <w:color w:val="153E34"/>
        </w:rPr>
        <w:t>Completion check</w:t>
      </w:r>
    </w:p>
    <w:p>
      <w:pPr>
        <w:spacing w:after="100" w:line="252" w:lineRule="auto"/>
      </w:pPr>
      <w:r>
        <w:rPr>
          <w:rFonts w:ascii="Aptos" w:hAnsi="Aptos"/>
          <w:sz w:val="18"/>
        </w:rPr>
        <w:t>Every active rule has an identified source and version, reviewed logic, test examples and traceable UI result; ambiguous records remain unclear rather than being marked satisfied.</w:t>
      </w:r>
    </w:p>
    <w:p>
      <w:r>
        <w:br w:type="page"/>
      </w:r>
    </w:p>
    <w:p>
      <w:pPr>
        <w:pStyle w:val="Heading1"/>
        <w:keepNext/>
      </w:pPr>
      <w:r>
        <w:rPr>
          <w:rFonts w:ascii="Aptos Display" w:hAnsi="Aptos Display"/>
          <w:color w:val="153E34"/>
        </w:rPr>
        <w:t>Module 8 — Evidence-gap and case-risk analyzer</w:t>
      </w:r>
    </w:p>
    <w:p>
      <w:pPr>
        <w:spacing w:after="100" w:line="252" w:lineRule="auto"/>
      </w:pPr>
      <w:r>
        <w:rPr>
          <w:rFonts w:ascii="Aptos" w:hAnsi="Aptos"/>
          <w:b/>
          <w:sz w:val="18"/>
        </w:rPr>
        <w:t>Goal.</w:t>
      </w:r>
      <w:r>
        <w:rPr>
          <w:rFonts w:ascii="Aptos" w:hAnsi="Aptos"/>
          <w:sz w:val="18"/>
        </w:rPr>
        <w:t xml:space="preserve"> Show which issues lack direct or corroborating evidence and, only if approved, prioritize review using transparent factors.</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Link issues to supporting, contradicting and missing evidence; show the source passages behind each gap.</w:t>
      </w:r>
    </w:p>
    <w:p>
      <w:pPr>
        <w:pStyle w:val="ListBullet"/>
        <w:keepLines/>
        <w:spacing w:after="40"/>
      </w:pPr>
      <w:r>
        <w:rPr>
          <w:rFonts w:ascii="Aptos" w:hAnsi="Aptos"/>
          <w:sz w:val="18"/>
        </w:rPr>
        <w:t>Implement transparent factor aggregation only after factor definitions and weights are approved; explain every contribution.</w:t>
      </w:r>
    </w:p>
    <w:p>
      <w:pPr>
        <w:pStyle w:val="ListBullet"/>
        <w:keepLines/>
        <w:spacing w:after="40"/>
      </w:pPr>
      <w:r>
        <w:rPr>
          <w:rFonts w:ascii="Aptos" w:hAnsi="Aptos"/>
          <w:sz w:val="18"/>
        </w:rPr>
        <w:t>Keep review priority separate from legal merits and never describe a score as probability of winning.</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 project owner (required for scoring)</w:t>
            </w:r>
          </w:p>
        </w:tc>
        <w:tc>
          <w:tcPr>
            <w:tcW w:type="dxa" w:w="7632"/>
            <w:vAlign w:val="center"/>
          </w:tcPr>
          <w:p>
            <w:pPr>
              <w:spacing w:after="20" w:line="240" w:lineRule="auto"/>
            </w:pPr>
            <w:r/>
            <w:r>
              <w:rPr>
                <w:rFonts w:ascii="Aptos" w:hAnsi="Aptos"/>
                <w:b w:val="0"/>
                <w:color w:val="152520"/>
                <w:sz w:val="16"/>
              </w:rPr>
              <w:t>Define the evidence factors, meaning of direct support/corroboration/conflict, how missing evidence is handled, optional weights and the initial case type.</w:t>
              <w:br/>
              <w:br/>
              <w:t>Preferred input: `risk_rubric.csv`: `case_type, issue_type, factor, definition, evidence_needed, scoring_rule, weight, source_or_policy, reviewer, approval_status`.</w:t>
              <w:br/>
              <w:br/>
              <w:t>Why/status: Without this input, keep the feature to evidence-gap prompts; no aggregate score should be shown.</w:t>
            </w:r>
          </w:p>
        </w:tc>
      </w:tr>
      <w:tr>
        <w:trPr>
          <w:cantSplit/>
        </w:trPr>
        <w:tc>
          <w:tcPr>
            <w:tcW w:type="dxa" w:w="2232"/>
            <w:vAlign w:val="center"/>
            <w:shd w:fill="F1F6F3"/>
          </w:tcPr>
          <w:p>
            <w:pPr>
              <w:spacing w:after="20" w:line="240" w:lineRule="auto"/>
            </w:pPr>
            <w:r/>
            <w:r>
              <w:rPr>
                <w:rFonts w:ascii="Aptos" w:hAnsi="Aptos"/>
                <w:b w:val="0"/>
                <w:color w:val="152520"/>
                <w:sz w:val="16"/>
              </w:rPr>
              <w:t>Advocate (required for validation)</w:t>
            </w:r>
          </w:p>
        </w:tc>
        <w:tc>
          <w:tcPr>
            <w:tcW w:type="dxa" w:w="7632"/>
            <w:vAlign w:val="center"/>
            <w:shd w:fill="F1F6F3"/>
          </w:tcPr>
          <w:p>
            <w:pPr>
              <w:spacing w:after="20" w:line="240" w:lineRule="auto"/>
            </w:pPr>
            <w:r/>
            <w:r>
              <w:rPr>
                <w:rFonts w:ascii="Aptos" w:hAnsi="Aptos"/>
                <w:b w:val="0"/>
                <w:color w:val="152520"/>
                <w:sz w:val="16"/>
              </w:rPr>
              <w:t>Review sample issues and the expected gap explanation or priority level. Include counterexamples where an apparent gap is explained by another source.</w:t>
              <w:br/>
              <w:br/>
              <w:t>Preferred input: `risk_examples.csv`: `case_id, issue_id, relevant_source_ids, expected_gap, expected_priority_or_none, rationale, reviewer`.</w:t>
              <w:br/>
              <w:br/>
              <w:t>Why/status: Needed to test consistency and usefulness; do not use outcome labels as a substitute for expert policy.</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Deliver source-linked evidence-gap explanations first. Add a weighted, explainable review-priority indicator only after the advocate approves a narrow rubric and examples.</w:t>
      </w:r>
    </w:p>
    <w:p>
      <w:pPr>
        <w:pStyle w:val="Heading2"/>
        <w:keepNext/>
      </w:pPr>
      <w:r>
        <w:rPr>
          <w:rFonts w:ascii="Aptos Display" w:hAnsi="Aptos Display"/>
          <w:color w:val="153E34"/>
        </w:rPr>
        <w:t>Completion check</w:t>
      </w:r>
    </w:p>
    <w:p>
      <w:pPr>
        <w:spacing w:after="100" w:line="252" w:lineRule="auto"/>
      </w:pPr>
      <w:r>
        <w:rPr>
          <w:rFonts w:ascii="Aptos" w:hAnsi="Aptos"/>
          <w:sz w:val="18"/>
        </w:rPr>
        <w:t>Each gap links to the issue and inspected evidence; any priority score has approved definitions and weights, passes reviewed examples, and is explicitly not an outcome prediction.</w:t>
      </w:r>
    </w:p>
    <w:p>
      <w:r>
        <w:br w:type="page"/>
      </w:r>
    </w:p>
    <w:p>
      <w:pPr>
        <w:pStyle w:val="Heading1"/>
        <w:keepNext/>
      </w:pPr>
      <w:r>
        <w:rPr>
          <w:rFonts w:ascii="Aptos Display" w:hAnsi="Aptos Display"/>
          <w:color w:val="153E34"/>
        </w:rPr>
        <w:t>Module 9 — Case-specific assistant interface and end-to-end workflow</w:t>
      </w:r>
    </w:p>
    <w:p>
      <w:pPr>
        <w:spacing w:after="100" w:line="252" w:lineRule="auto"/>
      </w:pPr>
      <w:r>
        <w:rPr>
          <w:rFonts w:ascii="Aptos" w:hAnsi="Aptos"/>
          <w:b/>
          <w:sz w:val="18"/>
        </w:rPr>
        <w:t>Goal.</w:t>
      </w:r>
      <w:r>
        <w:rPr>
          <w:rFonts w:ascii="Aptos" w:hAnsi="Aptos"/>
          <w:sz w:val="18"/>
        </w:rPr>
        <w:t xml:space="preserve"> Bring upload, review, contradictions, graph, legal research, summary, chat and export together in an accessible advocate-controlled workspace.</w:t>
      </w:r>
    </w:p>
    <w:p>
      <w:pPr>
        <w:pStyle w:val="Heading2"/>
        <w:keepNext/>
      </w:pPr>
      <w:r>
        <w:rPr>
          <w:rFonts w:ascii="Aptos Display" w:hAnsi="Aptos Display"/>
          <w:color w:val="153E34"/>
        </w:rPr>
        <w:t>Developer implementation and verification</w:t>
      </w:r>
    </w:p>
    <w:p>
      <w:pPr>
        <w:pStyle w:val="ListBullet"/>
        <w:keepLines/>
        <w:spacing w:after="40"/>
      </w:pPr>
      <w:r>
        <w:rPr>
          <w:rFonts w:ascii="Aptos" w:hAnsi="Aptos"/>
          <w:sz w:val="18"/>
        </w:rPr>
        <w:t>Complete a signed-in browser run from case creation to export, including multiple files and one cross-document contradiction.</w:t>
      </w:r>
    </w:p>
    <w:p>
      <w:pPr>
        <w:pStyle w:val="ListBullet"/>
        <w:keepLines/>
        <w:spacing w:after="40"/>
      </w:pPr>
      <w:r>
        <w:rPr>
          <w:rFonts w:ascii="Aptos" w:hAnsi="Aptos"/>
          <w:sz w:val="18"/>
        </w:rPr>
        <w:t>Inspect keyboard navigation, responsive layouts, loading/error/retry states, source links, extraction review and exported documents.</w:t>
      </w:r>
    </w:p>
    <w:p>
      <w:pPr>
        <w:pStyle w:val="ListBullet"/>
        <w:keepLines/>
        <w:spacing w:after="40"/>
      </w:pPr>
      <w:r>
        <w:rPr>
          <w:rFonts w:ascii="Aptos" w:hAnsi="Aptos"/>
          <w:sz w:val="18"/>
        </w:rPr>
        <w:t>Add multi-advocate access only after membership, roles, sharing and audit requirements are defined.</w:t>
      </w:r>
    </w:p>
    <w:p>
      <w:pPr>
        <w:pStyle w:val="Heading2"/>
        <w:keepNext/>
      </w:pPr>
      <w:r>
        <w:rPr>
          <w:rFonts w:ascii="Aptos Display" w:hAnsi="Aptos Display"/>
          <w:color w:val="153E34"/>
        </w:rPr>
        <w:t>Inputs and preferred final format</w:t>
      </w:r>
    </w:p>
    <w:tbl>
      <w:tblPr>
        <w:tblStyle w:val="TableGrid"/>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shd w:fill="153E34"/>
          </w:tcPr>
          <w:p>
            <w:pPr>
              <w:spacing w:after="20" w:line="240" w:lineRule="auto"/>
            </w:pPr>
            <w:r/>
            <w:r>
              <w:rPr>
                <w:rFonts w:ascii="Aptos" w:hAnsi="Aptos"/>
                <w:b/>
                <w:color w:val="FFFFFF"/>
                <w:sz w:val="16"/>
              </w:rPr>
              <w:t>Who provides it</w:t>
            </w:r>
          </w:p>
        </w:tc>
        <w:tc>
          <w:tcPr>
            <w:tcW w:type="dxa" w:w="7632"/>
            <w:vAlign w:val="center"/>
            <w:shd w:fill="153E34"/>
          </w:tcPr>
          <w:p>
            <w:pPr>
              <w:spacing w:after="20" w:line="240" w:lineRule="auto"/>
            </w:pPr>
            <w:r/>
            <w:r>
              <w:rPr>
                <w:rFonts w:ascii="Aptos" w:hAnsi="Aptos"/>
                <w:b/>
                <w:color w:val="FFFFFF"/>
                <w:sz w:val="16"/>
              </w:rPr>
              <w:t>What to provide, preferred format, and why</w:t>
            </w:r>
          </w:p>
        </w:tc>
      </w:tr>
      <w:tr>
        <w:trPr>
          <w:cantSplit/>
        </w:trPr>
        <w:tc>
          <w:tcPr>
            <w:tcW w:type="dxa" w:w="2232"/>
            <w:vAlign w:val="center"/>
          </w:tcPr>
          <w:p>
            <w:pPr>
              <w:spacing w:after="20" w:line="240" w:lineRule="auto"/>
            </w:pPr>
            <w:r/>
            <w:r>
              <w:rPr>
                <w:rFonts w:ascii="Aptos" w:hAnsi="Aptos"/>
                <w:b w:val="0"/>
                <w:color w:val="152520"/>
                <w:sz w:val="16"/>
              </w:rPr>
              <w:t>Advocate (recommended)</w:t>
            </w:r>
          </w:p>
        </w:tc>
        <w:tc>
          <w:tcPr>
            <w:tcW w:type="dxa" w:w="7632"/>
            <w:vAlign w:val="center"/>
          </w:tcPr>
          <w:p>
            <w:pPr>
              <w:spacing w:after="20" w:line="240" w:lineRule="auto"/>
            </w:pPr>
            <w:r/>
            <w:r>
              <w:rPr>
                <w:rFonts w:ascii="Aptos" w:hAnsi="Aptos"/>
                <w:b w:val="0"/>
                <w:color w:val="152520"/>
                <w:sz w:val="16"/>
              </w:rPr>
              <w:t>Walk through the synthetic demo and identify confusing labels, missing source context, useful review states and what should be visible before relying on a finding.</w:t>
              <w:br/>
              <w:br/>
              <w:t>Preferred input: `ui_review.csv`: `screen, task, observed_problem, expected_behavior, severity, reviewer` plus pass/fail notes for each workflow step.</w:t>
              <w:br/>
              <w:br/>
              <w:t>Why/status: Needed for usability acceptance; not needed to implement basic UI checks.</w:t>
            </w:r>
          </w:p>
        </w:tc>
      </w:tr>
      <w:tr>
        <w:trPr>
          <w:cantSplit/>
        </w:trPr>
        <w:tc>
          <w:tcPr>
            <w:tcW w:type="dxa" w:w="2232"/>
            <w:vAlign w:val="center"/>
            <w:shd w:fill="F1F6F3"/>
          </w:tcPr>
          <w:p>
            <w:pPr>
              <w:spacing w:after="20" w:line="240" w:lineRule="auto"/>
            </w:pPr>
            <w:r/>
            <w:r>
              <w:rPr>
                <w:rFonts w:ascii="Aptos" w:hAnsi="Aptos"/>
                <w:b w:val="0"/>
                <w:color w:val="152520"/>
                <w:sz w:val="16"/>
              </w:rPr>
              <w:t>Project owner (required for multi-user scope)</w:t>
            </w:r>
          </w:p>
        </w:tc>
        <w:tc>
          <w:tcPr>
            <w:tcW w:type="dxa" w:w="7632"/>
            <w:vAlign w:val="center"/>
            <w:shd w:fill="F1F6F3"/>
          </w:tcPr>
          <w:p>
            <w:pPr>
              <w:spacing w:after="20" w:line="240" w:lineRule="auto"/>
            </w:pPr>
            <w:r/>
            <w:r>
              <w:rPr>
                <w:rFonts w:ascii="Aptos" w:hAnsi="Aptos"/>
                <w:b w:val="0"/>
                <w:color w:val="152520"/>
                <w:sz w:val="16"/>
              </w:rPr>
              <w:t>Decide whether this prototype remains single-advocate or will support shared matters; define roles, invitations, access revocation and audit expectations.</w:t>
              <w:br/>
              <w:br/>
              <w:t>Preferred input: A one-page access policy/table: role, can view, can upload, can edit/review, can export, can invite, audit events.</w:t>
              <w:br/>
              <w:br/>
              <w:t>Why/status: Only required before multi-advocate collaboration is implemented.</w:t>
            </w:r>
          </w:p>
        </w:tc>
      </w:tr>
      <w:tr>
        <w:trPr>
          <w:cantSplit/>
        </w:trPr>
        <w:tc>
          <w:tcPr>
            <w:tcW w:type="dxa" w:w="2232"/>
            <w:vAlign w:val="center"/>
          </w:tcPr>
          <w:p>
            <w:pPr>
              <w:spacing w:after="20" w:line="240" w:lineRule="auto"/>
            </w:pPr>
            <w:r/>
            <w:r>
              <w:rPr>
                <w:rFonts w:ascii="Aptos" w:hAnsi="Aptos"/>
                <w:b w:val="0"/>
                <w:color w:val="152520"/>
                <w:sz w:val="16"/>
              </w:rPr>
              <w:t>Project owner or advocate (for E2E)</w:t>
            </w:r>
          </w:p>
        </w:tc>
        <w:tc>
          <w:tcPr>
            <w:tcW w:type="dxa" w:w="7632"/>
            <w:vAlign w:val="center"/>
          </w:tcPr>
          <w:p>
            <w:pPr>
              <w:spacing w:after="20" w:line="240" w:lineRule="auto"/>
            </w:pPr>
            <w:r/>
            <w:r>
              <w:rPr>
                <w:rFonts w:ascii="Aptos" w:hAnsi="Aptos"/>
                <w:b w:val="0"/>
                <w:color w:val="152520"/>
                <w:sz w:val="16"/>
              </w:rPr>
              <w:t>Provide the authenticated local session during verification without disclosing the password to the developer/chat. Use the synthetic evaluation case.</w:t>
              <w:br/>
              <w:br/>
              <w:t>Preferred input: Dashboard visible in the browser; report pass/fail against the demo checklist.</w:t>
              <w:br/>
              <w:br/>
              <w:t>Why/status: Needed for authenticated browser confirmation; code-level checks can continue without it.</w:t>
            </w:r>
          </w:p>
        </w:tc>
      </w:tr>
    </w:tbl>
    <w:p>
      <w:pPr>
        <w:spacing w:after="20"/>
      </w:pPr>
    </w:p>
    <w:p>
      <w:pPr>
        <w:pStyle w:val="Heading2"/>
        <w:keepNext/>
      </w:pPr>
      <w:r>
        <w:rPr>
          <w:rFonts w:ascii="Aptos Display" w:hAnsi="Aptos Display"/>
          <w:color w:val="153E34"/>
        </w:rPr>
        <w:t>Preferred solution</w:t>
      </w:r>
    </w:p>
    <w:p>
      <w:pPr>
        <w:spacing w:after="100" w:line="252" w:lineRule="auto"/>
      </w:pPr>
      <w:r>
        <w:rPr>
          <w:rFonts w:ascii="Aptos" w:hAnsi="Aptos"/>
          <w:sz w:val="18"/>
        </w:rPr>
        <w:t>Keep one advocate account for the research prototype. Complete the full synthetic workflow and accessibility/error-state review before adding team collaboration.</w:t>
      </w:r>
    </w:p>
    <w:p>
      <w:pPr>
        <w:pStyle w:val="Heading2"/>
        <w:keepNext/>
      </w:pPr>
      <w:r>
        <w:rPr>
          <w:rFonts w:ascii="Aptos Display" w:hAnsi="Aptos Display"/>
          <w:color w:val="153E34"/>
        </w:rPr>
        <w:t>Completion check</w:t>
      </w:r>
    </w:p>
    <w:p>
      <w:pPr>
        <w:spacing w:after="100" w:line="252" w:lineRule="auto"/>
      </w:pPr>
      <w:r>
        <w:rPr>
          <w:rFonts w:ascii="Aptos" w:hAnsi="Aptos"/>
          <w:sz w:val="18"/>
        </w:rPr>
        <w:t>A reviewer can create a matter, inspect extraction coverage, verify both sides of a contradiction, navigate graph edges to sources, query case chat/legal research, review the summary and export the result without dead ends.</w:t>
      </w:r>
    </w:p>
    <w:p>
      <w:r>
        <w:br w:type="page"/>
      </w:r>
    </w:p>
    <w:p>
      <w:pPr>
        <w:pStyle w:val="Heading1"/>
        <w:keepNext/>
      </w:pPr>
      <w:r>
        <w:rPr>
          <w:rFonts w:ascii="Aptos Display" w:hAnsi="Aptos Display"/>
          <w:color w:val="153E34"/>
        </w:rPr>
        <w:t>Cross-project inputs and decisions</w:t>
      </w:r>
    </w:p>
    <w:p>
      <w:pPr>
        <w:spacing w:after="100" w:line="252" w:lineRule="auto"/>
      </w:pPr>
      <w:r>
        <w:rPr>
          <w:rFonts w:ascii="Aptos" w:hAnsi="Aptos"/>
          <w:sz w:val="18"/>
        </w:rPr>
        <w:t>These requirements span multiple modules. They should be tracked separately so a module’s feature implementation is not mistaken for production readiness.</w:t>
      </w:r>
    </w:p>
    <w:tbl>
      <w:tblPr>
        <w:tblStyle w:val="TableGrid"/>
        <w:tblW w:type="auto" w:w="0"/>
        <w:jc w:val="center"/>
        <w:tblLayout w:type="fixed"/>
        <w:tblLook w:firstColumn="1" w:firstRow="1" w:lastColumn="0" w:lastRow="0" w:noHBand="0" w:noVBand="1" w:val="04A0"/>
      </w:tblPr>
      <w:tblGrid>
        <w:gridCol w:w="1728"/>
        <w:gridCol w:w="1296"/>
        <w:gridCol w:w="3600"/>
        <w:gridCol w:w="3240"/>
      </w:tblGrid>
      <w:tr>
        <w:trPr>
          <w:cantSplit/>
          <w:tblHeader/>
        </w:trPr>
        <w:tc>
          <w:tcPr>
            <w:tcW w:type="dxa" w:w="1728"/>
            <w:vAlign w:val="center"/>
            <w:shd w:fill="153E34"/>
          </w:tcPr>
          <w:p>
            <w:pPr>
              <w:spacing w:after="20" w:line="240" w:lineRule="auto"/>
            </w:pPr>
            <w:r/>
            <w:r>
              <w:rPr>
                <w:rFonts w:ascii="Aptos" w:hAnsi="Aptos"/>
                <w:b/>
                <w:color w:val="FFFFFF"/>
                <w:sz w:val="16"/>
              </w:rPr>
              <w:t>Area</w:t>
            </w:r>
          </w:p>
        </w:tc>
        <w:tc>
          <w:tcPr>
            <w:tcW w:type="dxa" w:w="1296"/>
            <w:vAlign w:val="center"/>
            <w:shd w:fill="153E34"/>
          </w:tcPr>
          <w:p>
            <w:pPr>
              <w:spacing w:after="20" w:line="240" w:lineRule="auto"/>
            </w:pPr>
            <w:r/>
            <w:r>
              <w:rPr>
                <w:rFonts w:ascii="Aptos" w:hAnsi="Aptos"/>
                <w:b/>
                <w:color w:val="FFFFFF"/>
                <w:sz w:val="16"/>
              </w:rPr>
              <w:t>Owner</w:t>
            </w:r>
          </w:p>
        </w:tc>
        <w:tc>
          <w:tcPr>
            <w:tcW w:type="dxa" w:w="3600"/>
            <w:vAlign w:val="center"/>
            <w:shd w:fill="153E34"/>
          </w:tcPr>
          <w:p>
            <w:pPr>
              <w:spacing w:after="20" w:line="240" w:lineRule="auto"/>
            </w:pPr>
            <w:r/>
            <w:r>
              <w:rPr>
                <w:rFonts w:ascii="Aptos" w:hAnsi="Aptos"/>
                <w:b/>
                <w:color w:val="FFFFFF"/>
                <w:sz w:val="16"/>
              </w:rPr>
              <w:t>Required work or decision</w:t>
            </w:r>
          </w:p>
        </w:tc>
        <w:tc>
          <w:tcPr>
            <w:tcW w:type="dxa" w:w="3240"/>
            <w:vAlign w:val="center"/>
            <w:shd w:fill="153E34"/>
          </w:tcPr>
          <w:p>
            <w:pPr>
              <w:spacing w:after="20" w:line="240" w:lineRule="auto"/>
            </w:pPr>
            <w:r/>
            <w:r>
              <w:rPr>
                <w:rFonts w:ascii="Aptos" w:hAnsi="Aptos"/>
                <w:b/>
                <w:color w:val="FFFFFF"/>
                <w:sz w:val="16"/>
              </w:rPr>
              <w:t>Preferred final input / evidence</w:t>
            </w:r>
          </w:p>
        </w:tc>
      </w:tr>
      <w:tr>
        <w:trPr>
          <w:cantSplit/>
        </w:trPr>
        <w:tc>
          <w:tcPr>
            <w:tcW w:type="dxa" w:w="1728"/>
            <w:vAlign w:val="center"/>
          </w:tcPr>
          <w:p>
            <w:pPr>
              <w:spacing w:after="20" w:line="240" w:lineRule="auto"/>
            </w:pPr>
            <w:r/>
            <w:r>
              <w:rPr>
                <w:rFonts w:ascii="Aptos" w:hAnsi="Aptos"/>
                <w:b w:val="0"/>
                <w:color w:val="152520"/>
                <w:sz w:val="15"/>
              </w:rPr>
              <w:t>Provider and legal-source terms</w:t>
            </w:r>
          </w:p>
        </w:tc>
        <w:tc>
          <w:tcPr>
            <w:tcW w:type="dxa" w:w="1296"/>
            <w:vAlign w:val="center"/>
          </w:tcPr>
          <w:p>
            <w:pPr>
              <w:spacing w:after="20" w:line="240" w:lineRule="auto"/>
            </w:pPr>
            <w:r/>
            <w:r>
              <w:rPr>
                <w:rFonts w:ascii="Aptos" w:hAnsi="Aptos"/>
                <w:b w:val="0"/>
                <w:color w:val="152520"/>
                <w:sz w:val="15"/>
              </w:rPr>
              <w:t>Owner</w:t>
            </w:r>
          </w:p>
        </w:tc>
        <w:tc>
          <w:tcPr>
            <w:tcW w:type="dxa" w:w="3600"/>
            <w:vAlign w:val="center"/>
          </w:tcPr>
          <w:p>
            <w:pPr>
              <w:spacing w:after="20" w:line="240" w:lineRule="auto"/>
            </w:pPr>
            <w:r/>
            <w:r>
              <w:rPr>
                <w:rFonts w:ascii="Aptos" w:hAnsi="Aptos"/>
                <w:b w:val="0"/>
                <w:color w:val="152520"/>
                <w:sz w:val="15"/>
              </w:rPr>
              <w:t>Confirm Gemini tier/data terms and Indian Kanoon API entitlement/terms for the intended use. Keep keys server-side; do not paste secrets into this guide or annotation files.</w:t>
            </w:r>
          </w:p>
        </w:tc>
        <w:tc>
          <w:tcPr>
            <w:tcW w:type="dxa" w:w="3240"/>
            <w:vAlign w:val="center"/>
          </w:tcPr>
          <w:p>
            <w:pPr>
              <w:spacing w:after="20" w:line="240" w:lineRule="auto"/>
            </w:pPr>
            <w:r/>
            <w:r>
              <w:rPr>
                <w:rFonts w:ascii="Aptos" w:hAnsi="Aptos"/>
                <w:b w:val="0"/>
                <w:color w:val="152520"/>
                <w:sz w:val="15"/>
              </w:rPr>
              <w:t>A written provider configuration record with provider, permitted data category, key location (secret manager/env name only), owner and renewal/rotation contact.</w:t>
            </w:r>
          </w:p>
        </w:tc>
      </w:tr>
      <w:tr>
        <w:trPr>
          <w:cantSplit/>
        </w:trPr>
        <w:tc>
          <w:tcPr>
            <w:tcW w:type="dxa" w:w="1728"/>
            <w:vAlign w:val="center"/>
            <w:shd w:fill="F1F6F3"/>
          </w:tcPr>
          <w:p>
            <w:pPr>
              <w:spacing w:after="20" w:line="240" w:lineRule="auto"/>
            </w:pPr>
            <w:r/>
            <w:r>
              <w:rPr>
                <w:rFonts w:ascii="Aptos" w:hAnsi="Aptos"/>
                <w:b w:val="0"/>
                <w:color w:val="152520"/>
                <w:sz w:val="15"/>
              </w:rPr>
              <w:t>Deployment and security</w:t>
            </w:r>
          </w:p>
        </w:tc>
        <w:tc>
          <w:tcPr>
            <w:tcW w:type="dxa" w:w="1296"/>
            <w:vAlign w:val="center"/>
            <w:shd w:fill="F1F6F3"/>
          </w:tcPr>
          <w:p>
            <w:pPr>
              <w:spacing w:after="20" w:line="240" w:lineRule="auto"/>
            </w:pPr>
            <w:r/>
            <w:r>
              <w:rPr>
                <w:rFonts w:ascii="Aptos" w:hAnsi="Aptos"/>
                <w:b w:val="0"/>
                <w:color w:val="152520"/>
                <w:sz w:val="15"/>
              </w:rPr>
              <w:t>Owner + developer</w:t>
            </w:r>
          </w:p>
        </w:tc>
        <w:tc>
          <w:tcPr>
            <w:tcW w:type="dxa" w:w="3600"/>
            <w:vAlign w:val="center"/>
            <w:shd w:fill="F1F6F3"/>
          </w:tcPr>
          <w:p>
            <w:pPr>
              <w:spacing w:after="20" w:line="240" w:lineRule="auto"/>
            </w:pPr>
            <w:r/>
            <w:r>
              <w:rPr>
                <w:rFonts w:ascii="Aptos" w:hAnsi="Aptos"/>
                <w:b w:val="0"/>
                <w:color w:val="152520"/>
                <w:sz w:val="15"/>
              </w:rPr>
              <w:t>Choose host, HTTPS/TLS, database/Neo4j security, managed key storage/rotation, roles, monitoring, background-job durability, backup/restore, retention/deletion and legal-hold policy.</w:t>
            </w:r>
          </w:p>
        </w:tc>
        <w:tc>
          <w:tcPr>
            <w:tcW w:type="dxa" w:w="3240"/>
            <w:vAlign w:val="center"/>
            <w:shd w:fill="F1F6F3"/>
          </w:tcPr>
          <w:p>
            <w:pPr>
              <w:spacing w:after="20" w:line="240" w:lineRule="auto"/>
            </w:pPr>
            <w:r/>
            <w:r>
              <w:rPr>
                <w:rFonts w:ascii="Aptos" w:hAnsi="Aptos"/>
                <w:b w:val="0"/>
                <w:color w:val="152520"/>
                <w:sz w:val="15"/>
              </w:rPr>
              <w:t>A deployment decision sheet: hosting target, data residency if required, roles, RPO/RTO, retention, deletion/legal hold, monitoring owner and restore-test date.</w:t>
            </w:r>
          </w:p>
        </w:tc>
      </w:tr>
      <w:tr>
        <w:trPr>
          <w:cantSplit/>
        </w:trPr>
        <w:tc>
          <w:tcPr>
            <w:tcW w:type="dxa" w:w="1728"/>
            <w:vAlign w:val="center"/>
          </w:tcPr>
          <w:p>
            <w:pPr>
              <w:spacing w:after="20" w:line="240" w:lineRule="auto"/>
            </w:pPr>
            <w:r/>
            <w:r>
              <w:rPr>
                <w:rFonts w:ascii="Aptos" w:hAnsi="Aptos"/>
                <w:b w:val="0"/>
                <w:color w:val="152520"/>
                <w:sz w:val="15"/>
              </w:rPr>
              <w:t>Encryption-key recovery</w:t>
            </w:r>
          </w:p>
        </w:tc>
        <w:tc>
          <w:tcPr>
            <w:tcW w:type="dxa" w:w="1296"/>
            <w:vAlign w:val="center"/>
          </w:tcPr>
          <w:p>
            <w:pPr>
              <w:spacing w:after="20" w:line="240" w:lineRule="auto"/>
            </w:pPr>
            <w:r/>
            <w:r>
              <w:rPr>
                <w:rFonts w:ascii="Aptos" w:hAnsi="Aptos"/>
                <w:b w:val="0"/>
                <w:color w:val="152520"/>
                <w:sz w:val="15"/>
              </w:rPr>
              <w:t>Owner + developer</w:t>
            </w:r>
          </w:p>
        </w:tc>
        <w:tc>
          <w:tcPr>
            <w:tcW w:type="dxa" w:w="3600"/>
            <w:vAlign w:val="center"/>
          </w:tcPr>
          <w:p>
            <w:pPr>
              <w:spacing w:after="20" w:line="240" w:lineRule="auto"/>
            </w:pPr>
            <w:r/>
            <w:r>
              <w:rPr>
                <w:rFonts w:ascii="Aptos" w:hAnsi="Aptos"/>
                <w:b w:val="0"/>
                <w:color w:val="152520"/>
                <w:sz w:val="15"/>
              </w:rPr>
              <w:t>Identify the key custodian, access/recovery process and rotation approach; perform a restore test. A backup copy alone does not demonstrate recoverability.</w:t>
            </w:r>
          </w:p>
        </w:tc>
        <w:tc>
          <w:tcPr>
            <w:tcW w:type="dxa" w:w="3240"/>
            <w:vAlign w:val="center"/>
          </w:tcPr>
          <w:p>
            <w:pPr>
              <w:spacing w:after="20" w:line="240" w:lineRule="auto"/>
            </w:pPr>
            <w:r/>
            <w:r>
              <w:rPr>
                <w:rFonts w:ascii="Aptos" w:hAnsi="Aptos"/>
                <w:b w:val="0"/>
                <w:color w:val="152520"/>
                <w:sz w:val="15"/>
              </w:rPr>
              <w:t>Record key identifier/version and custodian/process; never write the key value in the report. Record date/result of a controlled recovery test.</w:t>
            </w:r>
          </w:p>
        </w:tc>
      </w:tr>
      <w:tr>
        <w:trPr>
          <w:cantSplit/>
        </w:trPr>
        <w:tc>
          <w:tcPr>
            <w:tcW w:type="dxa" w:w="1728"/>
            <w:vAlign w:val="center"/>
            <w:shd w:fill="F1F6F3"/>
          </w:tcPr>
          <w:p>
            <w:pPr>
              <w:spacing w:after="20" w:line="240" w:lineRule="auto"/>
            </w:pPr>
            <w:r/>
            <w:r>
              <w:rPr>
                <w:rFonts w:ascii="Aptos" w:hAnsi="Aptos"/>
                <w:b w:val="0"/>
                <w:color w:val="152520"/>
                <w:sz w:val="15"/>
              </w:rPr>
              <w:t>Malware scanning</w:t>
            </w:r>
          </w:p>
        </w:tc>
        <w:tc>
          <w:tcPr>
            <w:tcW w:type="dxa" w:w="1296"/>
            <w:vAlign w:val="center"/>
            <w:shd w:fill="F1F6F3"/>
          </w:tcPr>
          <w:p>
            <w:pPr>
              <w:spacing w:after="20" w:line="240" w:lineRule="auto"/>
            </w:pPr>
            <w:r/>
            <w:r>
              <w:rPr>
                <w:rFonts w:ascii="Aptos" w:hAnsi="Aptos"/>
                <w:b w:val="0"/>
                <w:color w:val="152520"/>
                <w:sz w:val="15"/>
              </w:rPr>
              <w:t>Developer</w:t>
            </w:r>
          </w:p>
        </w:tc>
        <w:tc>
          <w:tcPr>
            <w:tcW w:type="dxa" w:w="3600"/>
            <w:vAlign w:val="center"/>
            <w:shd w:fill="F1F6F3"/>
          </w:tcPr>
          <w:p>
            <w:pPr>
              <w:spacing w:after="20" w:line="240" w:lineRule="auto"/>
            </w:pPr>
            <w:r/>
            <w:r>
              <w:rPr>
                <w:rFonts w:ascii="Aptos" w:hAnsi="Aptos"/>
                <w:b w:val="0"/>
                <w:color w:val="152520"/>
                <w:sz w:val="15"/>
              </w:rPr>
              <w:t>Check ClamAV is configured in the application runtime, scanner errors fail safely, and signatures update. Owner supplies installation/access only if the runtime lacks it.</w:t>
            </w:r>
          </w:p>
        </w:tc>
        <w:tc>
          <w:tcPr>
            <w:tcW w:type="dxa" w:w="3240"/>
            <w:vAlign w:val="center"/>
            <w:shd w:fill="F1F6F3"/>
          </w:tcPr>
          <w:p>
            <w:pPr>
              <w:spacing w:after="20" w:line="240" w:lineRule="auto"/>
            </w:pPr>
            <w:r/>
            <w:r>
              <w:rPr>
                <w:rFonts w:ascii="Aptos" w:hAnsi="Aptos"/>
                <w:b w:val="0"/>
                <w:color w:val="152520"/>
                <w:sz w:val="15"/>
              </w:rPr>
              <w:t>Runtime check output: scanner version, signature timestamp, test-file result and failure-path result. Do not include malware samples in the handout.</w:t>
            </w:r>
          </w:p>
        </w:tc>
      </w:tr>
      <w:tr>
        <w:trPr>
          <w:cantSplit/>
        </w:trPr>
        <w:tc>
          <w:tcPr>
            <w:tcW w:type="dxa" w:w="1728"/>
            <w:vAlign w:val="center"/>
          </w:tcPr>
          <w:p>
            <w:pPr>
              <w:spacing w:after="20" w:line="240" w:lineRule="auto"/>
            </w:pPr>
            <w:r/>
            <w:r>
              <w:rPr>
                <w:rFonts w:ascii="Aptos" w:hAnsi="Aptos"/>
                <w:b w:val="0"/>
                <w:color w:val="152520"/>
                <w:sz w:val="15"/>
              </w:rPr>
              <w:t>Research evaluation</w:t>
            </w:r>
          </w:p>
        </w:tc>
        <w:tc>
          <w:tcPr>
            <w:tcW w:type="dxa" w:w="1296"/>
            <w:vAlign w:val="center"/>
          </w:tcPr>
          <w:p>
            <w:pPr>
              <w:spacing w:after="20" w:line="240" w:lineRule="auto"/>
            </w:pPr>
            <w:r/>
            <w:r>
              <w:rPr>
                <w:rFonts w:ascii="Aptos" w:hAnsi="Aptos"/>
                <w:b w:val="0"/>
                <w:color w:val="152520"/>
                <w:sz w:val="15"/>
              </w:rPr>
              <w:t>Developer + advocate</w:t>
            </w:r>
          </w:p>
        </w:tc>
        <w:tc>
          <w:tcPr>
            <w:tcW w:type="dxa" w:w="3600"/>
            <w:vAlign w:val="center"/>
          </w:tcPr>
          <w:p>
            <w:pPr>
              <w:spacing w:after="20" w:line="240" w:lineRule="auto"/>
            </w:pPr>
            <w:r/>
            <w:r>
              <w:rPr>
                <w:rFonts w:ascii="Aptos" w:hAnsi="Aptos"/>
                <w:b w:val="0"/>
                <w:color w:val="152520"/>
                <w:sz w:val="15"/>
              </w:rPr>
              <w:t>Use synthetic cases to prove the software flow; use advocate-reviewed held-out examples for accuracy claims. Keep case/document groups disjoint across splits.</w:t>
            </w:r>
          </w:p>
        </w:tc>
        <w:tc>
          <w:tcPr>
            <w:tcW w:type="dxa" w:w="3240"/>
            <w:vAlign w:val="center"/>
          </w:tcPr>
          <w:p>
            <w:pPr>
              <w:spacing w:after="20" w:line="240" w:lineRule="auto"/>
            </w:pPr>
            <w:r/>
            <w:r>
              <w:rPr>
                <w:rFonts w:ascii="Aptos" w:hAnsi="Aptos"/>
                <w:b w:val="0"/>
                <w:color w:val="152520"/>
                <w:sz w:val="15"/>
              </w:rPr>
              <w:t>A versioned evaluation report with dataset scope, split method, metrics, errors, limitations and reproducible command/configuration.</w:t>
            </w:r>
          </w:p>
        </w:tc>
      </w:tr>
      <w:tr>
        <w:trPr>
          <w:cantSplit/>
        </w:trPr>
        <w:tc>
          <w:tcPr>
            <w:tcW w:type="dxa" w:w="1728"/>
            <w:vAlign w:val="center"/>
            <w:shd w:fill="F1F6F3"/>
          </w:tcPr>
          <w:p>
            <w:pPr>
              <w:spacing w:after="20" w:line="240" w:lineRule="auto"/>
            </w:pPr>
            <w:r/>
            <w:r>
              <w:rPr>
                <w:rFonts w:ascii="Aptos" w:hAnsi="Aptos"/>
                <w:b w:val="0"/>
                <w:color w:val="152520"/>
                <w:sz w:val="15"/>
              </w:rPr>
              <w:t>Term SLR</w:t>
            </w:r>
          </w:p>
        </w:tc>
        <w:tc>
          <w:tcPr>
            <w:tcW w:type="dxa" w:w="1296"/>
            <w:vAlign w:val="center"/>
            <w:shd w:fill="F1F6F3"/>
          </w:tcPr>
          <w:p>
            <w:pPr>
              <w:spacing w:after="20" w:line="240" w:lineRule="auto"/>
            </w:pPr>
            <w:r/>
            <w:r>
              <w:rPr>
                <w:rFonts w:ascii="Aptos" w:hAnsi="Aptos"/>
                <w:b w:val="0"/>
                <w:color w:val="152520"/>
                <w:sz w:val="15"/>
              </w:rPr>
              <w:t>Owner</w:t>
            </w:r>
          </w:p>
        </w:tc>
        <w:tc>
          <w:tcPr>
            <w:tcW w:type="dxa" w:w="3600"/>
            <w:vAlign w:val="center"/>
            <w:shd w:fill="F1F6F3"/>
          </w:tcPr>
          <w:p>
            <w:pPr>
              <w:spacing w:after="20" w:line="240" w:lineRule="auto"/>
            </w:pPr>
            <w:r/>
            <w:r>
              <w:rPr>
                <w:rFonts w:ascii="Aptos" w:hAnsi="Aptos"/>
                <w:b w:val="0"/>
                <w:color w:val="152520"/>
                <w:sz w:val="15"/>
              </w:rPr>
              <w:t>SLR has no defined meaning in the supplied plans/repository. Clarify its full form and desired function if it remains a requirement; otherwise mark it out of scope.</w:t>
            </w:r>
          </w:p>
        </w:tc>
        <w:tc>
          <w:tcPr>
            <w:tcW w:type="dxa" w:w="3240"/>
            <w:vAlign w:val="center"/>
            <w:shd w:fill="F1F6F3"/>
          </w:tcPr>
          <w:p>
            <w:pPr>
              <w:spacing w:after="20" w:line="240" w:lineRule="auto"/>
            </w:pPr>
            <w:r/>
            <w:r>
              <w:rPr>
                <w:rFonts w:ascii="Aptos" w:hAnsi="Aptos"/>
                <w:b w:val="0"/>
                <w:color w:val="152520"/>
                <w:sz w:val="15"/>
              </w:rPr>
              <w:t>One sentence: `SLR means ___; it should do ___ in module ___` or `SLR is not in scope`.</w:t>
            </w:r>
          </w:p>
        </w:tc>
      </w:tr>
    </w:tbl>
    <w:p>
      <w:pPr>
        <w:spacing w:after="20"/>
      </w:pPr>
    </w:p>
    <w:p>
      <w:pPr>
        <w:pStyle w:val="Heading2"/>
        <w:keepNext/>
      </w:pPr>
      <w:r>
        <w:rPr>
          <w:rFonts w:ascii="Aptos Display" w:hAnsi="Aptos Display"/>
          <w:color w:val="153E34"/>
        </w:rPr>
        <w:t>Separate Product Module 4: Indian legal research</w:t>
      </w:r>
    </w:p>
    <w:p>
      <w:pPr>
        <w:spacing w:after="100" w:line="252" w:lineRule="auto"/>
      </w:pPr>
      <w:r>
        <w:rPr>
          <w:rFonts w:ascii="Aptos" w:hAnsi="Aptos"/>
          <w:sz w:val="18"/>
        </w:rPr>
        <w:t>The legal research experience uses the India Code and Indian Kanoon providers. This is separate from Technical Module 4, which retrieves passages from the advocate’s case files. The adapters are integrated; remaining work is evaluation, provider-path checks, source/citation review, and clear treatment of amendments, currentness, hierarchy, jurisdiction and applicability.</w:t>
      </w:r>
    </w:p>
    <w:tbl>
      <w:tblPr>
        <w:tblStyle w:val="TableGrid"/>
        <w:tblW w:type="auto" w:w="0"/>
        <w:jc w:val="center"/>
        <w:tblLayout w:type="fixed"/>
        <w:tblLook w:firstColumn="1" w:firstRow="1" w:lastColumn="0" w:lastRow="0" w:noHBand="0" w:noVBand="1" w:val="04A0"/>
      </w:tblPr>
      <w:tblGrid>
        <w:gridCol w:w="1800"/>
        <w:gridCol w:w="4464"/>
        <w:gridCol w:w="3600"/>
      </w:tblGrid>
      <w:tr>
        <w:trPr>
          <w:cantSplit/>
          <w:tblHeader/>
        </w:trPr>
        <w:tc>
          <w:tcPr>
            <w:tcW w:type="dxa" w:w="1800"/>
            <w:vAlign w:val="center"/>
            <w:shd w:fill="153E34"/>
          </w:tcPr>
          <w:p>
            <w:pPr>
              <w:spacing w:after="20" w:line="240" w:lineRule="auto"/>
            </w:pPr>
            <w:r/>
            <w:r>
              <w:rPr>
                <w:rFonts w:ascii="Aptos" w:hAnsi="Aptos"/>
                <w:b/>
                <w:color w:val="FFFFFF"/>
                <w:sz w:val="16"/>
              </w:rPr>
              <w:t>Who</w:t>
            </w:r>
          </w:p>
        </w:tc>
        <w:tc>
          <w:tcPr>
            <w:tcW w:type="dxa" w:w="4464"/>
            <w:vAlign w:val="center"/>
            <w:shd w:fill="153E34"/>
          </w:tcPr>
          <w:p>
            <w:pPr>
              <w:spacing w:after="20" w:line="240" w:lineRule="auto"/>
            </w:pPr>
            <w:r/>
            <w:r>
              <w:rPr>
                <w:rFonts w:ascii="Aptos" w:hAnsi="Aptos"/>
                <w:b/>
                <w:color w:val="FFFFFF"/>
                <w:sz w:val="16"/>
              </w:rPr>
              <w:t>Input/work needed</w:t>
            </w:r>
          </w:p>
        </w:tc>
        <w:tc>
          <w:tcPr>
            <w:tcW w:type="dxa" w:w="3600"/>
            <w:vAlign w:val="center"/>
            <w:shd w:fill="153E34"/>
          </w:tcPr>
          <w:p>
            <w:pPr>
              <w:spacing w:after="20" w:line="240" w:lineRule="auto"/>
            </w:pPr>
            <w:r/>
            <w:r>
              <w:rPr>
                <w:rFonts w:ascii="Aptos" w:hAnsi="Aptos"/>
                <w:b/>
                <w:color w:val="FFFFFF"/>
                <w:sz w:val="16"/>
              </w:rPr>
              <w:t>Preferred format</w:t>
            </w:r>
          </w:p>
        </w:tc>
      </w:tr>
      <w:tr>
        <w:trPr>
          <w:cantSplit/>
        </w:trPr>
        <w:tc>
          <w:tcPr>
            <w:tcW w:type="dxa" w:w="1800"/>
            <w:vAlign w:val="center"/>
          </w:tcPr>
          <w:p>
            <w:pPr>
              <w:spacing w:after="20" w:line="240" w:lineRule="auto"/>
            </w:pPr>
            <w:r/>
            <w:r>
              <w:rPr>
                <w:rFonts w:ascii="Aptos" w:hAnsi="Aptos"/>
                <w:b w:val="0"/>
                <w:color w:val="152520"/>
                <w:sz w:val="16"/>
              </w:rPr>
              <w:t>Developer</w:t>
            </w:r>
          </w:p>
        </w:tc>
        <w:tc>
          <w:tcPr>
            <w:tcW w:type="dxa" w:w="4464"/>
            <w:vAlign w:val="center"/>
          </w:tcPr>
          <w:p>
            <w:pPr>
              <w:spacing w:after="20" w:line="240" w:lineRule="auto"/>
            </w:pPr>
            <w:r/>
            <w:r>
              <w:rPr>
                <w:rFonts w:ascii="Aptos" w:hAnsi="Aptos"/>
                <w:b w:val="0"/>
                <w:color w:val="152520"/>
                <w:sz w:val="16"/>
              </w:rPr>
              <w:t>Exercise search, section/detail, metadata, passage and provider-error paths; verify returned links and citations are visible in UI.</w:t>
            </w:r>
          </w:p>
        </w:tc>
        <w:tc>
          <w:tcPr>
            <w:tcW w:type="dxa" w:w="3600"/>
            <w:vAlign w:val="center"/>
          </w:tcPr>
          <w:p>
            <w:pPr>
              <w:spacing w:after="20" w:line="240" w:lineRule="auto"/>
            </w:pPr>
            <w:r/>
            <w:r>
              <w:rPr>
                <w:rFonts w:ascii="Aptos" w:hAnsi="Aptos"/>
                <w:b w:val="0"/>
                <w:color w:val="152520"/>
                <w:sz w:val="16"/>
              </w:rPr>
              <w:t>Provider integration checklist with endpoint, expected result, actual result, date, and failure case.</w:t>
            </w:r>
          </w:p>
        </w:tc>
      </w:tr>
      <w:tr>
        <w:trPr>
          <w:cantSplit/>
        </w:trPr>
        <w:tc>
          <w:tcPr>
            <w:tcW w:type="dxa" w:w="1800"/>
            <w:vAlign w:val="center"/>
            <w:shd w:fill="F1F6F3"/>
          </w:tcPr>
          <w:p>
            <w:pPr>
              <w:spacing w:after="20" w:line="240" w:lineRule="auto"/>
            </w:pPr>
            <w:r/>
            <w:r>
              <w:rPr>
                <w:rFonts w:ascii="Aptos" w:hAnsi="Aptos"/>
                <w:b w:val="0"/>
                <w:color w:val="152520"/>
                <w:sz w:val="16"/>
              </w:rPr>
              <w:t>Advocate</w:t>
            </w:r>
          </w:p>
        </w:tc>
        <w:tc>
          <w:tcPr>
            <w:tcW w:type="dxa" w:w="4464"/>
            <w:vAlign w:val="center"/>
            <w:shd w:fill="F1F6F3"/>
          </w:tcPr>
          <w:p>
            <w:pPr>
              <w:spacing w:after="20" w:line="240" w:lineRule="auto"/>
            </w:pPr>
            <w:r/>
            <w:r>
              <w:rPr>
                <w:rFonts w:ascii="Aptos" w:hAnsi="Aptos"/>
                <w:b w:val="0"/>
                <w:color w:val="152520"/>
                <w:sz w:val="16"/>
              </w:rPr>
              <w:t>Judge whether representative returned provisions/judgments answer the research question and identify legal-review caveats.</w:t>
            </w:r>
          </w:p>
        </w:tc>
        <w:tc>
          <w:tcPr>
            <w:tcW w:type="dxa" w:w="3600"/>
            <w:vAlign w:val="center"/>
            <w:shd w:fill="F1F6F3"/>
          </w:tcPr>
          <w:p>
            <w:pPr>
              <w:spacing w:after="20" w:line="240" w:lineRule="auto"/>
            </w:pPr>
            <w:r/>
            <w:r>
              <w:rPr>
                <w:rFonts w:ascii="Aptos" w:hAnsi="Aptos"/>
                <w:b w:val="0"/>
                <w:color w:val="152520"/>
                <w:sz w:val="16"/>
              </w:rPr>
              <w:t>`legal_research_review.csv`: `question, provider, result_id, expected_topic, relevance, citation_ok, currentness_checked, reviewer_notes`.</w:t>
            </w:r>
          </w:p>
        </w:tc>
      </w:tr>
      <w:tr>
        <w:trPr>
          <w:cantSplit/>
        </w:trPr>
        <w:tc>
          <w:tcPr>
            <w:tcW w:type="dxa" w:w="1800"/>
            <w:vAlign w:val="center"/>
          </w:tcPr>
          <w:p>
            <w:pPr>
              <w:spacing w:after="20" w:line="240" w:lineRule="auto"/>
            </w:pPr>
            <w:r/>
            <w:r>
              <w:rPr>
                <w:rFonts w:ascii="Aptos" w:hAnsi="Aptos"/>
                <w:b w:val="0"/>
                <w:color w:val="152520"/>
                <w:sz w:val="16"/>
              </w:rPr>
              <w:t>Project owner</w:t>
            </w:r>
          </w:p>
        </w:tc>
        <w:tc>
          <w:tcPr>
            <w:tcW w:type="dxa" w:w="4464"/>
            <w:vAlign w:val="center"/>
          </w:tcPr>
          <w:p>
            <w:pPr>
              <w:spacing w:after="20" w:line="240" w:lineRule="auto"/>
            </w:pPr>
            <w:r/>
            <w:r>
              <w:rPr>
                <w:rFonts w:ascii="Aptos" w:hAnsi="Aptos"/>
                <w:b w:val="0"/>
                <w:color w:val="152520"/>
                <w:sz w:val="16"/>
              </w:rPr>
              <w:t>Confirm Indian Kanoon account/API entitlement and provider terms; maintain API token or RSA key only in server-side secret configuration.</w:t>
            </w:r>
          </w:p>
        </w:tc>
        <w:tc>
          <w:tcPr>
            <w:tcW w:type="dxa" w:w="3600"/>
            <w:vAlign w:val="center"/>
          </w:tcPr>
          <w:p>
            <w:pPr>
              <w:spacing w:after="20" w:line="240" w:lineRule="auto"/>
            </w:pPr>
            <w:r/>
            <w:r>
              <w:rPr>
                <w:rFonts w:ascii="Aptos" w:hAnsi="Aptos"/>
                <w:b w:val="0"/>
                <w:color w:val="152520"/>
                <w:sz w:val="16"/>
              </w:rPr>
              <w:t>Record provider, credential variable/path name, credential custodian, entitlement/renewal date. Never include the secret value.</w:t>
            </w:r>
          </w:p>
        </w:tc>
      </w:tr>
    </w:tbl>
    <w:p>
      <w:pPr>
        <w:spacing w:after="20"/>
      </w:pPr>
    </w:p>
    <w:p>
      <w:pPr>
        <w:pStyle w:val="Heading2"/>
        <w:keepNext/>
      </w:pPr>
      <w:r>
        <w:rPr>
          <w:rFonts w:ascii="Aptos Display" w:hAnsi="Aptos Display"/>
          <w:color w:val="153E34"/>
        </w:rPr>
        <w:t>What not to send as input</w:t>
      </w:r>
    </w:p>
    <w:p>
      <w:pPr>
        <w:pStyle w:val="ListBullet"/>
        <w:keepLines/>
        <w:spacing w:after="40"/>
      </w:pPr>
      <w:r>
        <w:rPr>
          <w:rFonts w:ascii="Aptos" w:hAnsi="Aptos"/>
          <w:sz w:val="18"/>
        </w:rPr>
        <w:t>Do not send API keys, passwords, encryption keys, private keys, or recovery codes in annotation spreadsheets or this guide.</w:t>
      </w:r>
    </w:p>
    <w:p>
      <w:pPr>
        <w:pStyle w:val="ListBullet"/>
        <w:keepLines/>
        <w:spacing w:after="40"/>
      </w:pPr>
      <w:r>
        <w:rPr>
          <w:rFonts w:ascii="Aptos" w:hAnsi="Aptos"/>
          <w:sz w:val="18"/>
        </w:rPr>
        <w:t>Do not use the 24 synthetic examples as a gold dataset or as evidence of classifier accuracy.</w:t>
      </w:r>
    </w:p>
    <w:p>
      <w:pPr>
        <w:pStyle w:val="ListBullet"/>
        <w:keepLines/>
        <w:spacing w:after="40"/>
      </w:pPr>
      <w:r>
        <w:rPr>
          <w:rFonts w:ascii="Aptos" w:hAnsi="Aptos"/>
          <w:sz w:val="18"/>
        </w:rPr>
        <w:t>Do not use the seven-role InLegalBERT judgment classifier as the fact/issue/irrelevant pleading classifier.</w:t>
      </w:r>
    </w:p>
    <w:p>
      <w:pPr>
        <w:pStyle w:val="ListBullet"/>
        <w:keepLines/>
        <w:spacing w:after="40"/>
      </w:pPr>
      <w:r>
        <w:rPr>
          <w:rFonts w:ascii="Aptos" w:hAnsi="Aptos"/>
          <w:sz w:val="18"/>
        </w:rPr>
        <w:t>Do not provide unapproved legal deadlines, risk weights, or checklist rules and treat them as validated policy.</w:t>
      </w:r>
    </w:p>
    <w:p>
      <w:pPr>
        <w:pStyle w:val="ListBullet"/>
        <w:keepLines/>
        <w:spacing w:after="40"/>
      </w:pPr>
      <w:r>
        <w:rPr>
          <w:rFonts w:ascii="Aptos" w:hAnsi="Aptos"/>
          <w:sz w:val="18"/>
        </w:rPr>
        <w:t>Do not split sentences from the same case across train and test sets; keep whole documents/cases held out.</w:t>
      </w:r>
    </w:p>
    <w:p>
      <w:r>
        <w:br w:type="page"/>
      </w:r>
    </w:p>
    <w:p>
      <w:pPr>
        <w:pStyle w:val="Heading1"/>
        <w:keepNext/>
      </w:pPr>
      <w:r>
        <w:rPr>
          <w:rFonts w:ascii="Aptos Display" w:hAnsi="Aptos Display"/>
          <w:color w:val="153E34"/>
        </w:rPr>
        <w:t>Recommended input package to hand the developer</w:t>
      </w:r>
    </w:p>
    <w:p>
      <w:pPr>
        <w:spacing w:after="100" w:line="252" w:lineRule="auto"/>
      </w:pPr>
      <w:r>
        <w:rPr>
          <w:rFonts w:ascii="Aptos" w:hAnsi="Aptos"/>
          <w:sz w:val="18"/>
        </w:rPr>
        <w:t>Prepare a versioned folder or controlled project repository containing the following files. Use stable IDs and exact extracted text so the developer can link every label back to its source locator.</w:t>
      </w:r>
    </w:p>
    <w:tbl>
      <w:tblPr>
        <w:tblStyle w:val="TableGrid"/>
        <w:tblW w:type="auto" w:w="0"/>
        <w:jc w:val="center"/>
        <w:tblLayout w:type="fixed"/>
        <w:tblLook w:firstColumn="1" w:firstRow="1" w:lastColumn="0" w:lastRow="0" w:noHBand="0" w:noVBand="1" w:val="04A0"/>
      </w:tblPr>
      <w:tblGrid>
        <w:gridCol w:w="2664"/>
        <w:gridCol w:w="5400"/>
        <w:gridCol w:w="1800"/>
      </w:tblGrid>
      <w:tr>
        <w:trPr>
          <w:cantSplit/>
          <w:tblHeader/>
        </w:trPr>
        <w:tc>
          <w:tcPr>
            <w:tcW w:type="dxa" w:w="2664"/>
            <w:vAlign w:val="center"/>
            <w:shd w:fill="153E34"/>
          </w:tcPr>
          <w:p>
            <w:pPr>
              <w:spacing w:after="20" w:line="240" w:lineRule="auto"/>
            </w:pPr>
            <w:r/>
            <w:r>
              <w:rPr>
                <w:rFonts w:ascii="Aptos" w:hAnsi="Aptos"/>
                <w:b/>
                <w:color w:val="FFFFFF"/>
                <w:sz w:val="16"/>
              </w:rPr>
              <w:t>File</w:t>
            </w:r>
          </w:p>
        </w:tc>
        <w:tc>
          <w:tcPr>
            <w:tcW w:type="dxa" w:w="5400"/>
            <w:vAlign w:val="center"/>
            <w:shd w:fill="153E34"/>
          </w:tcPr>
          <w:p>
            <w:pPr>
              <w:spacing w:after="20" w:line="240" w:lineRule="auto"/>
            </w:pPr>
            <w:r/>
            <w:r>
              <w:rPr>
                <w:rFonts w:ascii="Aptos" w:hAnsi="Aptos"/>
                <w:b/>
                <w:color w:val="FFFFFF"/>
                <w:sz w:val="16"/>
              </w:rPr>
              <w:t>Required content</w:t>
            </w:r>
          </w:p>
        </w:tc>
        <w:tc>
          <w:tcPr>
            <w:tcW w:type="dxa" w:w="1800"/>
            <w:vAlign w:val="center"/>
            <w:shd w:fill="153E34"/>
          </w:tcPr>
          <w:p>
            <w:pPr>
              <w:spacing w:after="20" w:line="240" w:lineRule="auto"/>
            </w:pPr>
            <w:r/>
            <w:r>
              <w:rPr>
                <w:rFonts w:ascii="Aptos" w:hAnsi="Aptos"/>
                <w:b/>
                <w:color w:val="FFFFFF"/>
                <w:sz w:val="16"/>
              </w:rPr>
              <w:t>Owner</w:t>
            </w:r>
          </w:p>
        </w:tc>
      </w:tr>
      <w:tr>
        <w:trPr>
          <w:cantSplit/>
        </w:trPr>
        <w:tc>
          <w:tcPr>
            <w:tcW w:type="dxa" w:w="2664"/>
            <w:vAlign w:val="center"/>
          </w:tcPr>
          <w:p>
            <w:pPr>
              <w:spacing w:after="20" w:line="240" w:lineRule="auto"/>
            </w:pPr>
            <w:r/>
            <w:r>
              <w:rPr>
                <w:rFonts w:ascii="Aptos" w:hAnsi="Aptos"/>
                <w:b w:val="0"/>
                <w:color w:val="152520"/>
                <w:sz w:val="16"/>
              </w:rPr>
              <w:t>README_input_scope.md</w:t>
            </w:r>
          </w:p>
        </w:tc>
        <w:tc>
          <w:tcPr>
            <w:tcW w:type="dxa" w:w="5400"/>
            <w:vAlign w:val="center"/>
          </w:tcPr>
          <w:p>
            <w:pPr>
              <w:spacing w:after="20" w:line="240" w:lineRule="auto"/>
            </w:pPr>
            <w:r/>
            <w:r>
              <w:rPr>
                <w:rFonts w:ascii="Aptos" w:hAnsi="Aptos"/>
                <w:b w:val="0"/>
                <w:color w:val="152520"/>
                <w:sz w:val="16"/>
              </w:rPr>
              <w:t>Included document types, case type/jurisdiction, label policy version, dataset use restrictions and contact for questions.</w:t>
            </w:r>
          </w:p>
        </w:tc>
        <w:tc>
          <w:tcPr>
            <w:tcW w:type="dxa" w:w="1800"/>
            <w:vAlign w:val="center"/>
          </w:tcPr>
          <w:p>
            <w:pPr>
              <w:spacing w:after="20" w:line="240" w:lineRule="auto"/>
            </w:pPr>
            <w:r/>
            <w:r>
              <w:rPr>
                <w:rFonts w:ascii="Aptos" w:hAnsi="Aptos"/>
                <w:b w:val="0"/>
                <w:color w:val="152520"/>
                <w:sz w:val="16"/>
              </w:rPr>
              <w:t>Project owner + advocate</w:t>
            </w:r>
          </w:p>
        </w:tc>
      </w:tr>
      <w:tr>
        <w:trPr>
          <w:cantSplit/>
        </w:trPr>
        <w:tc>
          <w:tcPr>
            <w:tcW w:type="dxa" w:w="2664"/>
            <w:vAlign w:val="center"/>
            <w:shd w:fill="F1F6F3"/>
          </w:tcPr>
          <w:p>
            <w:pPr>
              <w:spacing w:after="20" w:line="240" w:lineRule="auto"/>
            </w:pPr>
            <w:r/>
            <w:r>
              <w:rPr>
                <w:rFonts w:ascii="Aptos" w:hAnsi="Aptos"/>
                <w:b w:val="0"/>
                <w:color w:val="152520"/>
                <w:sz w:val="16"/>
              </w:rPr>
              <w:t>sentence_labels.csv</w:t>
            </w:r>
          </w:p>
        </w:tc>
        <w:tc>
          <w:tcPr>
            <w:tcW w:type="dxa" w:w="5400"/>
            <w:vAlign w:val="center"/>
            <w:shd w:fill="F1F6F3"/>
          </w:tcPr>
          <w:p>
            <w:pPr>
              <w:spacing w:after="20" w:line="240" w:lineRule="auto"/>
            </w:pPr>
            <w:r/>
            <w:r>
              <w:rPr>
                <w:rFonts w:ascii="Aptos" w:hAnsi="Aptos"/>
                <w:b w:val="0"/>
                <w:color w:val="152520"/>
                <w:sz w:val="16"/>
              </w:rPr>
              <w:t>Sentence-level fact/issue/irrelevant examples with document/page/offset, exact text, rationale and review state.</w:t>
            </w:r>
          </w:p>
        </w:tc>
        <w:tc>
          <w:tcPr>
            <w:tcW w:type="dxa" w:w="1800"/>
            <w:vAlign w:val="center"/>
            <w:shd w:fill="F1F6F3"/>
          </w:tcPr>
          <w:p>
            <w:pPr>
              <w:spacing w:after="20" w:line="240" w:lineRule="auto"/>
            </w:pPr>
            <w:r/>
            <w:r>
              <w:rPr>
                <w:rFonts w:ascii="Aptos" w:hAnsi="Aptos"/>
                <w:b w:val="0"/>
                <w:color w:val="152520"/>
                <w:sz w:val="16"/>
              </w:rPr>
              <w:t>Advocate</w:t>
            </w:r>
          </w:p>
        </w:tc>
      </w:tr>
      <w:tr>
        <w:trPr>
          <w:cantSplit/>
        </w:trPr>
        <w:tc>
          <w:tcPr>
            <w:tcW w:type="dxa" w:w="2664"/>
            <w:vAlign w:val="center"/>
          </w:tcPr>
          <w:p>
            <w:pPr>
              <w:spacing w:after="20" w:line="240" w:lineRule="auto"/>
            </w:pPr>
            <w:r/>
            <w:r>
              <w:rPr>
                <w:rFonts w:ascii="Aptos" w:hAnsi="Aptos"/>
                <w:b w:val="0"/>
                <w:color w:val="152520"/>
                <w:sz w:val="16"/>
              </w:rPr>
              <w:t>ner_spans.csv (optional)</w:t>
            </w:r>
          </w:p>
        </w:tc>
        <w:tc>
          <w:tcPr>
            <w:tcW w:type="dxa" w:w="5400"/>
            <w:vAlign w:val="center"/>
          </w:tcPr>
          <w:p>
            <w:pPr>
              <w:spacing w:after="20" w:line="240" w:lineRule="auto"/>
            </w:pPr>
            <w:r/>
            <w:r>
              <w:rPr>
                <w:rFonts w:ascii="Aptos" w:hAnsi="Aptos"/>
                <w:b w:val="0"/>
                <w:color w:val="152520"/>
                <w:sz w:val="16"/>
              </w:rPr>
              <w:t>Entity spans with exact character offsets and agreed entity type.</w:t>
            </w:r>
          </w:p>
        </w:tc>
        <w:tc>
          <w:tcPr>
            <w:tcW w:type="dxa" w:w="1800"/>
            <w:vAlign w:val="center"/>
          </w:tcPr>
          <w:p>
            <w:pPr>
              <w:spacing w:after="20" w:line="240" w:lineRule="auto"/>
            </w:pPr>
            <w:r/>
            <w:r>
              <w:rPr>
                <w:rFonts w:ascii="Aptos" w:hAnsi="Aptos"/>
                <w:b w:val="0"/>
                <w:color w:val="152520"/>
                <w:sz w:val="16"/>
              </w:rPr>
              <w:t>Advocate</w:t>
            </w:r>
          </w:p>
        </w:tc>
      </w:tr>
      <w:tr>
        <w:trPr>
          <w:cantSplit/>
        </w:trPr>
        <w:tc>
          <w:tcPr>
            <w:tcW w:type="dxa" w:w="2664"/>
            <w:vAlign w:val="center"/>
            <w:shd w:fill="F1F6F3"/>
          </w:tcPr>
          <w:p>
            <w:pPr>
              <w:spacing w:after="20" w:line="240" w:lineRule="auto"/>
            </w:pPr>
            <w:r/>
            <w:r>
              <w:rPr>
                <w:rFonts w:ascii="Aptos" w:hAnsi="Aptos"/>
                <w:b w:val="0"/>
                <w:color w:val="152520"/>
                <w:sz w:val="16"/>
              </w:rPr>
              <w:t>relation_pairs.csv</w:t>
            </w:r>
          </w:p>
        </w:tc>
        <w:tc>
          <w:tcPr>
            <w:tcW w:type="dxa" w:w="5400"/>
            <w:vAlign w:val="center"/>
            <w:shd w:fill="F1F6F3"/>
          </w:tcPr>
          <w:p>
            <w:pPr>
              <w:spacing w:after="20" w:line="240" w:lineRule="auto"/>
            </w:pPr>
            <w:r/>
            <w:r>
              <w:rPr>
                <w:rFonts w:ascii="Aptos" w:hAnsi="Aptos"/>
                <w:b w:val="0"/>
                <w:color w:val="152520"/>
                <w:sz w:val="16"/>
              </w:rPr>
              <w:t>Source-linked statement pairs and supports/contradicts/applies-to/unrelated labels.</w:t>
            </w:r>
          </w:p>
        </w:tc>
        <w:tc>
          <w:tcPr>
            <w:tcW w:type="dxa" w:w="1800"/>
            <w:vAlign w:val="center"/>
            <w:shd w:fill="F1F6F3"/>
          </w:tcPr>
          <w:p>
            <w:pPr>
              <w:spacing w:after="20" w:line="240" w:lineRule="auto"/>
            </w:pPr>
            <w:r/>
            <w:r>
              <w:rPr>
                <w:rFonts w:ascii="Aptos" w:hAnsi="Aptos"/>
                <w:b w:val="0"/>
                <w:color w:val="152520"/>
                <w:sz w:val="16"/>
              </w:rPr>
              <w:t>Advocate</w:t>
            </w:r>
          </w:p>
        </w:tc>
      </w:tr>
      <w:tr>
        <w:trPr>
          <w:cantSplit/>
        </w:trPr>
        <w:tc>
          <w:tcPr>
            <w:tcW w:type="dxa" w:w="2664"/>
            <w:vAlign w:val="center"/>
          </w:tcPr>
          <w:p>
            <w:pPr>
              <w:spacing w:after="20" w:line="240" w:lineRule="auto"/>
            </w:pPr>
            <w:r/>
            <w:r>
              <w:rPr>
                <w:rFonts w:ascii="Aptos" w:hAnsi="Aptos"/>
                <w:b w:val="0"/>
                <w:color w:val="152520"/>
                <w:sz w:val="16"/>
              </w:rPr>
              <w:t>retrieval_judgments.csv</w:t>
            </w:r>
          </w:p>
        </w:tc>
        <w:tc>
          <w:tcPr>
            <w:tcW w:type="dxa" w:w="5400"/>
            <w:vAlign w:val="center"/>
          </w:tcPr>
          <w:p>
            <w:pPr>
              <w:spacing w:after="20" w:line="240" w:lineRule="auto"/>
            </w:pPr>
            <w:r/>
            <w:r>
              <w:rPr>
                <w:rFonts w:ascii="Aptos" w:hAnsi="Aptos"/>
                <w:b w:val="0"/>
                <w:color w:val="152520"/>
                <w:sz w:val="16"/>
              </w:rPr>
              <w:t>Question, retrieved passage IDs, relevance grade and rationale.</w:t>
            </w:r>
          </w:p>
        </w:tc>
        <w:tc>
          <w:tcPr>
            <w:tcW w:type="dxa" w:w="1800"/>
            <w:vAlign w:val="center"/>
          </w:tcPr>
          <w:p>
            <w:pPr>
              <w:spacing w:after="20" w:line="240" w:lineRule="auto"/>
            </w:pPr>
            <w:r/>
            <w:r>
              <w:rPr>
                <w:rFonts w:ascii="Aptos" w:hAnsi="Aptos"/>
                <w:b w:val="0"/>
                <w:color w:val="152520"/>
                <w:sz w:val="16"/>
              </w:rPr>
              <w:t>Advocate</w:t>
            </w:r>
          </w:p>
        </w:tc>
      </w:tr>
      <w:tr>
        <w:trPr>
          <w:cantSplit/>
        </w:trPr>
        <w:tc>
          <w:tcPr>
            <w:tcW w:type="dxa" w:w="2664"/>
            <w:vAlign w:val="center"/>
            <w:shd w:fill="F1F6F3"/>
          </w:tcPr>
          <w:p>
            <w:pPr>
              <w:spacing w:after="20" w:line="240" w:lineRule="auto"/>
            </w:pPr>
            <w:r/>
            <w:r>
              <w:rPr>
                <w:rFonts w:ascii="Aptos" w:hAnsi="Aptos"/>
                <w:b w:val="0"/>
                <w:color w:val="152520"/>
                <w:sz w:val="16"/>
              </w:rPr>
              <w:t>answer_review.csv/jsonl</w:t>
            </w:r>
          </w:p>
        </w:tc>
        <w:tc>
          <w:tcPr>
            <w:tcW w:type="dxa" w:w="5400"/>
            <w:vAlign w:val="center"/>
            <w:shd w:fill="F1F6F3"/>
          </w:tcPr>
          <w:p>
            <w:pPr>
              <w:spacing w:after="20" w:line="240" w:lineRule="auto"/>
            </w:pPr>
            <w:r/>
            <w:r>
              <w:rPr>
                <w:rFonts w:ascii="Aptos" w:hAnsi="Aptos"/>
                <w:b w:val="0"/>
                <w:color w:val="152520"/>
                <w:sz w:val="16"/>
              </w:rPr>
              <w:t>Questions, required answer points, expected sources, abstention/conflict expectation and reviewed outputs.</w:t>
            </w:r>
          </w:p>
        </w:tc>
        <w:tc>
          <w:tcPr>
            <w:tcW w:type="dxa" w:w="1800"/>
            <w:vAlign w:val="center"/>
            <w:shd w:fill="F1F6F3"/>
          </w:tcPr>
          <w:p>
            <w:pPr>
              <w:spacing w:after="20" w:line="240" w:lineRule="auto"/>
            </w:pPr>
            <w:r/>
            <w:r>
              <w:rPr>
                <w:rFonts w:ascii="Aptos" w:hAnsi="Aptos"/>
                <w:b w:val="0"/>
                <w:color w:val="152520"/>
                <w:sz w:val="16"/>
              </w:rPr>
              <w:t>Advocate</w:t>
            </w:r>
          </w:p>
        </w:tc>
      </w:tr>
      <w:tr>
        <w:trPr>
          <w:cantSplit/>
        </w:trPr>
        <w:tc>
          <w:tcPr>
            <w:tcW w:type="dxa" w:w="2664"/>
            <w:vAlign w:val="center"/>
          </w:tcPr>
          <w:p>
            <w:pPr>
              <w:spacing w:after="20" w:line="240" w:lineRule="auto"/>
            </w:pPr>
            <w:r/>
            <w:r>
              <w:rPr>
                <w:rFonts w:ascii="Aptos" w:hAnsi="Aptos"/>
                <w:b w:val="0"/>
                <w:color w:val="152520"/>
                <w:sz w:val="16"/>
              </w:rPr>
              <w:t>claim_support.csv</w:t>
            </w:r>
          </w:p>
        </w:tc>
        <w:tc>
          <w:tcPr>
            <w:tcW w:type="dxa" w:w="5400"/>
            <w:vAlign w:val="center"/>
          </w:tcPr>
          <w:p>
            <w:pPr>
              <w:spacing w:after="20" w:line="240" w:lineRule="auto"/>
            </w:pPr>
            <w:r/>
            <w:r>
              <w:rPr>
                <w:rFonts w:ascii="Aptos" w:hAnsi="Aptos"/>
                <w:b w:val="0"/>
                <w:color w:val="152520"/>
                <w:sz w:val="16"/>
              </w:rPr>
              <w:t>Generated claim and cited passage with supported/partial/contradicted/not-supported label.</w:t>
            </w:r>
          </w:p>
        </w:tc>
        <w:tc>
          <w:tcPr>
            <w:tcW w:type="dxa" w:w="1800"/>
            <w:vAlign w:val="center"/>
          </w:tcPr>
          <w:p>
            <w:pPr>
              <w:spacing w:after="20" w:line="240" w:lineRule="auto"/>
            </w:pPr>
            <w:r/>
            <w:r>
              <w:rPr>
                <w:rFonts w:ascii="Aptos" w:hAnsi="Aptos"/>
                <w:b w:val="0"/>
                <w:color w:val="152520"/>
                <w:sz w:val="16"/>
              </w:rPr>
              <w:t>Advocate</w:t>
            </w:r>
          </w:p>
        </w:tc>
      </w:tr>
      <w:tr>
        <w:trPr>
          <w:cantSplit/>
        </w:trPr>
        <w:tc>
          <w:tcPr>
            <w:tcW w:type="dxa" w:w="2664"/>
            <w:vAlign w:val="center"/>
            <w:shd w:fill="F1F6F3"/>
          </w:tcPr>
          <w:p>
            <w:pPr>
              <w:spacing w:after="20" w:line="240" w:lineRule="auto"/>
            </w:pPr>
            <w:r/>
            <w:r>
              <w:rPr>
                <w:rFonts w:ascii="Aptos" w:hAnsi="Aptos"/>
                <w:b w:val="0"/>
                <w:color w:val="152520"/>
                <w:sz w:val="16"/>
              </w:rPr>
              <w:t>checklist.yaml + rule_examples.csv (if Module 7 is in scope)</w:t>
            </w:r>
          </w:p>
        </w:tc>
        <w:tc>
          <w:tcPr>
            <w:tcW w:type="dxa" w:w="5400"/>
            <w:vAlign w:val="center"/>
            <w:shd w:fill="F1F6F3"/>
          </w:tcPr>
          <w:p>
            <w:pPr>
              <w:spacing w:after="20" w:line="240" w:lineRule="auto"/>
            </w:pPr>
            <w:r/>
            <w:r>
              <w:rPr>
                <w:rFonts w:ascii="Aptos" w:hAnsi="Aptos"/>
                <w:b w:val="0"/>
                <w:color w:val="152520"/>
                <w:sz w:val="16"/>
              </w:rPr>
              <w:t>Reviewed legal requirements, source/version, trigger/date logic, evidence and expected statuses.</w:t>
            </w:r>
          </w:p>
        </w:tc>
        <w:tc>
          <w:tcPr>
            <w:tcW w:type="dxa" w:w="1800"/>
            <w:vAlign w:val="center"/>
            <w:shd w:fill="F1F6F3"/>
          </w:tcPr>
          <w:p>
            <w:pPr>
              <w:spacing w:after="20" w:line="240" w:lineRule="auto"/>
            </w:pPr>
            <w:r/>
            <w:r>
              <w:rPr>
                <w:rFonts w:ascii="Aptos" w:hAnsi="Aptos"/>
                <w:b w:val="0"/>
                <w:color w:val="152520"/>
                <w:sz w:val="16"/>
              </w:rPr>
              <w:t>Advocate + project owner</w:t>
            </w:r>
          </w:p>
        </w:tc>
      </w:tr>
      <w:tr>
        <w:trPr>
          <w:cantSplit/>
        </w:trPr>
        <w:tc>
          <w:tcPr>
            <w:tcW w:type="dxa" w:w="2664"/>
            <w:vAlign w:val="center"/>
          </w:tcPr>
          <w:p>
            <w:pPr>
              <w:spacing w:after="20" w:line="240" w:lineRule="auto"/>
            </w:pPr>
            <w:r/>
            <w:r>
              <w:rPr>
                <w:rFonts w:ascii="Aptos" w:hAnsi="Aptos"/>
                <w:b w:val="0"/>
                <w:color w:val="152520"/>
                <w:sz w:val="16"/>
              </w:rPr>
              <w:t>risk_rubric.csv + risk_examples.csv (if scoring is in scope)</w:t>
            </w:r>
          </w:p>
        </w:tc>
        <w:tc>
          <w:tcPr>
            <w:tcW w:type="dxa" w:w="5400"/>
            <w:vAlign w:val="center"/>
          </w:tcPr>
          <w:p>
            <w:pPr>
              <w:spacing w:after="20" w:line="240" w:lineRule="auto"/>
            </w:pPr>
            <w:r/>
            <w:r>
              <w:rPr>
                <w:rFonts w:ascii="Aptos" w:hAnsi="Aptos"/>
                <w:b w:val="0"/>
                <w:color w:val="152520"/>
                <w:sz w:val="16"/>
              </w:rPr>
              <w:t>Approved factors/definitions/weights and reviewed illustrative cases.</w:t>
            </w:r>
          </w:p>
        </w:tc>
        <w:tc>
          <w:tcPr>
            <w:tcW w:type="dxa" w:w="1800"/>
            <w:vAlign w:val="center"/>
          </w:tcPr>
          <w:p>
            <w:pPr>
              <w:spacing w:after="20" w:line="240" w:lineRule="auto"/>
            </w:pPr>
            <w:r/>
            <w:r>
              <w:rPr>
                <w:rFonts w:ascii="Aptos" w:hAnsi="Aptos"/>
                <w:b w:val="0"/>
                <w:color w:val="152520"/>
                <w:sz w:val="16"/>
              </w:rPr>
              <w:t>Advocate + project owner</w:t>
            </w:r>
          </w:p>
        </w:tc>
      </w:tr>
      <w:tr>
        <w:trPr>
          <w:cantSplit/>
        </w:trPr>
        <w:tc>
          <w:tcPr>
            <w:tcW w:type="dxa" w:w="2664"/>
            <w:vAlign w:val="center"/>
            <w:shd w:fill="F1F6F3"/>
          </w:tcPr>
          <w:p>
            <w:pPr>
              <w:spacing w:after="20" w:line="240" w:lineRule="auto"/>
            </w:pPr>
            <w:r/>
            <w:r>
              <w:rPr>
                <w:rFonts w:ascii="Aptos" w:hAnsi="Aptos"/>
                <w:b w:val="0"/>
                <w:color w:val="152520"/>
                <w:sz w:val="16"/>
              </w:rPr>
              <w:t>provider_deployment_decisions.md</w:t>
            </w:r>
          </w:p>
        </w:tc>
        <w:tc>
          <w:tcPr>
            <w:tcW w:type="dxa" w:w="5400"/>
            <w:vAlign w:val="center"/>
            <w:shd w:fill="F1F6F3"/>
          </w:tcPr>
          <w:p>
            <w:pPr>
              <w:spacing w:after="20" w:line="240" w:lineRule="auto"/>
            </w:pPr>
            <w:r/>
            <w:r>
              <w:rPr>
                <w:rFonts w:ascii="Aptos" w:hAnsi="Aptos"/>
                <w:b w:val="0"/>
                <w:color w:val="152520"/>
                <w:sz w:val="16"/>
              </w:rPr>
              <w:t>Gemini data tier, Indian Kanoon entitlement, hosting, roles, retention, backup/restore and security choices.</w:t>
            </w:r>
          </w:p>
        </w:tc>
        <w:tc>
          <w:tcPr>
            <w:tcW w:type="dxa" w:w="1800"/>
            <w:vAlign w:val="center"/>
            <w:shd w:fill="F1F6F3"/>
          </w:tcPr>
          <w:p>
            <w:pPr>
              <w:spacing w:after="20" w:line="240" w:lineRule="auto"/>
            </w:pPr>
            <w:r/>
            <w:r>
              <w:rPr>
                <w:rFonts w:ascii="Aptos" w:hAnsi="Aptos"/>
                <w:b w:val="0"/>
                <w:color w:val="152520"/>
                <w:sz w:val="16"/>
              </w:rPr>
              <w:t>Project owner</w:t>
            </w:r>
          </w:p>
        </w:tc>
      </w:tr>
    </w:tbl>
    <w:p>
      <w:pPr>
        <w:spacing w:after="20"/>
      </w:pPr>
    </w:p>
    <w:p>
      <w:pPr>
        <w:pStyle w:val="Heading2"/>
        <w:keepNext/>
      </w:pPr>
      <w:r>
        <w:rPr>
          <w:rFonts w:ascii="Aptos Display" w:hAnsi="Aptos Display"/>
          <w:color w:val="153E34"/>
        </w:rPr>
        <w:t>Review and split rules</w:t>
      </w:r>
    </w:p>
    <w:p>
      <w:pPr>
        <w:pStyle w:val="ListBullet"/>
        <w:keepLines/>
        <w:spacing w:after="40"/>
      </w:pPr>
      <w:r>
        <w:rPr>
          <w:rFonts w:ascii="Aptos" w:hAnsi="Aptos"/>
          <w:sz w:val="18"/>
        </w:rPr>
        <w:t>Use unique document and case IDs; preserve page numbers and extracted character offsets wherever available.</w:t>
      </w:r>
    </w:p>
    <w:p>
      <w:pPr>
        <w:pStyle w:val="ListBullet"/>
        <w:keepLines/>
        <w:spacing w:after="40"/>
      </w:pPr>
      <w:r>
        <w:rPr>
          <w:rFonts w:ascii="Aptos" w:hAnsi="Aptos"/>
          <w:sz w:val="18"/>
        </w:rPr>
        <w:t>Keep source text exact. Put explanations in a separate rationale column rather than editing the sentence.</w:t>
      </w:r>
    </w:p>
    <w:p>
      <w:pPr>
        <w:pStyle w:val="ListBullet"/>
        <w:keepLines/>
        <w:spacing w:after="40"/>
      </w:pPr>
      <w:r>
        <w:rPr>
          <w:rFonts w:ascii="Aptos" w:hAnsi="Aptos"/>
          <w:sz w:val="18"/>
        </w:rPr>
        <w:t>Mark uncertain examples explicitly and send disagreements for a second advocate review.</w:t>
      </w:r>
    </w:p>
    <w:p>
      <w:pPr>
        <w:pStyle w:val="ListBullet"/>
        <w:keepLines/>
        <w:spacing w:after="40"/>
      </w:pPr>
      <w:r>
        <w:rPr>
          <w:rFonts w:ascii="Aptos" w:hAnsi="Aptos"/>
          <w:sz w:val="18"/>
        </w:rPr>
        <w:t>Split by complete case/document before training or evaluation; do not allow passages from one case into both train and test.</w:t>
      </w:r>
    </w:p>
    <w:p>
      <w:pPr>
        <w:pStyle w:val="ListBullet"/>
        <w:keepLines/>
        <w:spacing w:after="40"/>
      </w:pPr>
      <w:r>
        <w:rPr>
          <w:rFonts w:ascii="Aptos" w:hAnsi="Aptos"/>
          <w:sz w:val="18"/>
        </w:rPr>
        <w:t>Track dataset version, reviewers, date, source/usage permission and label-policy version.</w:t>
      </w:r>
    </w:p>
    <w:p>
      <w:pPr>
        <w:pStyle w:val="Heading2"/>
        <w:keepNext/>
      </w:pPr>
      <w:r>
        <w:rPr>
          <w:rFonts w:ascii="Aptos Display" w:hAnsi="Aptos Display"/>
          <w:color w:val="153E34"/>
        </w:rPr>
        <w:t>Current decisions already settled</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153E34"/>
          </w:tcPr>
          <w:p>
            <w:pPr>
              <w:spacing w:after="20" w:line="240" w:lineRule="auto"/>
            </w:pPr>
            <w:r/>
            <w:r>
              <w:rPr>
                <w:rFonts w:ascii="Aptos" w:hAnsi="Aptos"/>
                <w:b/>
                <w:color w:val="FFFFFF"/>
                <w:sz w:val="16"/>
              </w:rPr>
              <w:t>Decision</w:t>
            </w:r>
          </w:p>
        </w:tc>
        <w:tc>
          <w:tcPr>
            <w:tcW w:type="dxa" w:w="7488"/>
            <w:vAlign w:val="center"/>
            <w:shd w:fill="153E34"/>
          </w:tcPr>
          <w:p>
            <w:pPr>
              <w:spacing w:after="20" w:line="240" w:lineRule="auto"/>
            </w:pPr>
            <w:r/>
            <w:r>
              <w:rPr>
                <w:rFonts w:ascii="Aptos" w:hAnsi="Aptos"/>
                <w:b/>
                <w:color w:val="FFFFFF"/>
                <w:sz w:val="16"/>
              </w:rPr>
              <w:t>Current project position</w:t>
            </w:r>
          </w:p>
        </w:tc>
      </w:tr>
      <w:tr>
        <w:trPr>
          <w:cantSplit/>
        </w:trPr>
        <w:tc>
          <w:tcPr>
            <w:tcW w:type="dxa" w:w="2376"/>
            <w:vAlign w:val="center"/>
          </w:tcPr>
          <w:p>
            <w:pPr>
              <w:spacing w:after="20" w:line="240" w:lineRule="auto"/>
            </w:pPr>
            <w:r/>
            <w:r>
              <w:rPr>
                <w:rFonts w:ascii="Aptos" w:hAnsi="Aptos"/>
                <w:b w:val="0"/>
                <w:color w:val="152520"/>
                <w:sz w:val="16"/>
              </w:rPr>
              <w:t>First OCR path</w:t>
            </w:r>
          </w:p>
        </w:tc>
        <w:tc>
          <w:tcPr>
            <w:tcW w:type="dxa" w:w="7488"/>
            <w:vAlign w:val="center"/>
          </w:tcPr>
          <w:p>
            <w:pPr>
              <w:spacing w:after="20" w:line="240" w:lineRule="auto"/>
            </w:pPr>
            <w:r/>
            <w:r>
              <w:rPr>
                <w:rFonts w:ascii="Aptos" w:hAnsi="Aptos"/>
                <w:b w:val="0"/>
                <w:color w:val="152520"/>
                <w:sz w:val="16"/>
              </w:rPr>
              <w:t>Local Tesseract first; English first-pass language; cloud fallback remains an extension seam.</w:t>
            </w:r>
          </w:p>
        </w:tc>
      </w:tr>
      <w:tr>
        <w:trPr>
          <w:cantSplit/>
        </w:trPr>
        <w:tc>
          <w:tcPr>
            <w:tcW w:type="dxa" w:w="2376"/>
            <w:vAlign w:val="center"/>
            <w:shd w:fill="F1F6F3"/>
          </w:tcPr>
          <w:p>
            <w:pPr>
              <w:spacing w:after="20" w:line="240" w:lineRule="auto"/>
            </w:pPr>
            <w:r/>
            <w:r>
              <w:rPr>
                <w:rFonts w:ascii="Aptos" w:hAnsi="Aptos"/>
                <w:b w:val="0"/>
                <w:color w:val="152520"/>
                <w:sz w:val="16"/>
              </w:rPr>
              <w:t>Legal research sources</w:t>
            </w:r>
          </w:p>
        </w:tc>
        <w:tc>
          <w:tcPr>
            <w:tcW w:type="dxa" w:w="7488"/>
            <w:vAlign w:val="center"/>
            <w:shd w:fill="F1F6F3"/>
          </w:tcPr>
          <w:p>
            <w:pPr>
              <w:spacing w:after="20" w:line="240" w:lineRule="auto"/>
            </w:pPr>
            <w:r/>
            <w:r>
              <w:rPr>
                <w:rFonts w:ascii="Aptos" w:hAnsi="Aptos"/>
                <w:b w:val="0"/>
                <w:color w:val="152520"/>
                <w:sz w:val="16"/>
              </w:rPr>
              <w:t>India Code and Indian Kanoon are the planned providers; provider credentials stay server-side.</w:t>
            </w:r>
          </w:p>
        </w:tc>
      </w:tr>
      <w:tr>
        <w:trPr>
          <w:cantSplit/>
        </w:trPr>
        <w:tc>
          <w:tcPr>
            <w:tcW w:type="dxa" w:w="2376"/>
            <w:vAlign w:val="center"/>
          </w:tcPr>
          <w:p>
            <w:pPr>
              <w:spacing w:after="20" w:line="240" w:lineRule="auto"/>
            </w:pPr>
            <w:r/>
            <w:r>
              <w:rPr>
                <w:rFonts w:ascii="Aptos" w:hAnsi="Aptos"/>
                <w:b w:val="0"/>
                <w:color w:val="152520"/>
                <w:sz w:val="16"/>
              </w:rPr>
              <w:t>Sentence classifier</w:t>
            </w:r>
          </w:p>
        </w:tc>
        <w:tc>
          <w:tcPr>
            <w:tcW w:type="dxa" w:w="7488"/>
            <w:vAlign w:val="center"/>
          </w:tcPr>
          <w:p>
            <w:pPr>
              <w:spacing w:after="20" w:line="240" w:lineRule="auto"/>
            </w:pPr>
            <w:r/>
            <w:r>
              <w:rPr>
                <w:rFonts w:ascii="Aptos" w:hAnsi="Aptos"/>
                <w:b w:val="0"/>
                <w:color w:val="152520"/>
                <w:sz w:val="16"/>
              </w:rPr>
              <w:t>Gemini plus deterministic rules is the current MVP; advocate data is needed for evaluation and any target-task training.</w:t>
            </w:r>
          </w:p>
        </w:tc>
      </w:tr>
      <w:tr>
        <w:trPr>
          <w:cantSplit/>
        </w:trPr>
        <w:tc>
          <w:tcPr>
            <w:tcW w:type="dxa" w:w="2376"/>
            <w:vAlign w:val="center"/>
            <w:shd w:fill="F1F6F3"/>
          </w:tcPr>
          <w:p>
            <w:pPr>
              <w:spacing w:after="20" w:line="240" w:lineRule="auto"/>
            </w:pPr>
            <w:r/>
            <w:r>
              <w:rPr>
                <w:rFonts w:ascii="Aptos" w:hAnsi="Aptos"/>
                <w:b w:val="0"/>
                <w:color w:val="152520"/>
                <w:sz w:val="16"/>
              </w:rPr>
              <w:t>NER</w:t>
            </w:r>
          </w:p>
        </w:tc>
        <w:tc>
          <w:tcPr>
            <w:tcW w:type="dxa" w:w="7488"/>
            <w:vAlign w:val="center"/>
            <w:shd w:fill="F1F6F3"/>
          </w:tcPr>
          <w:p>
            <w:pPr>
              <w:spacing w:after="20" w:line="240" w:lineRule="auto"/>
            </w:pPr>
            <w:r/>
            <w:r>
              <w:rPr>
                <w:rFonts w:ascii="Aptos" w:hAnsi="Aptos"/>
                <w:b w:val="0"/>
                <w:color w:val="152520"/>
                <w:sz w:val="16"/>
              </w:rPr>
              <w:t>KING data supports judgment-domain NER evaluation, not pleading/affidavit gold; evaluate candidates on target examples before use.</w:t>
            </w:r>
          </w:p>
        </w:tc>
      </w:tr>
      <w:tr>
        <w:trPr>
          <w:cantSplit/>
        </w:trPr>
        <w:tc>
          <w:tcPr>
            <w:tcW w:type="dxa" w:w="2376"/>
            <w:vAlign w:val="center"/>
          </w:tcPr>
          <w:p>
            <w:pPr>
              <w:spacing w:after="20" w:line="240" w:lineRule="auto"/>
            </w:pPr>
            <w:r/>
            <w:r>
              <w:rPr>
                <w:rFonts w:ascii="Aptos" w:hAnsi="Aptos"/>
                <w:b w:val="0"/>
                <w:color w:val="152520"/>
                <w:sz w:val="16"/>
              </w:rPr>
              <w:t>Vector retrieval</w:t>
            </w:r>
          </w:p>
        </w:tc>
        <w:tc>
          <w:tcPr>
            <w:tcW w:type="dxa" w:w="7488"/>
            <w:vAlign w:val="center"/>
          </w:tcPr>
          <w:p>
            <w:pPr>
              <w:spacing w:after="20" w:line="240" w:lineRule="auto"/>
            </w:pPr>
            <w:r/>
            <w:r>
              <w:rPr>
                <w:rFonts w:ascii="Aptos" w:hAnsi="Aptos"/>
                <w:b w:val="0"/>
                <w:color w:val="152520"/>
                <w:sz w:val="16"/>
              </w:rPr>
              <w:t>BM25 plus graph hybrid search is current; FAISS/reranking remain benchmark-driven options.</w:t>
            </w:r>
          </w:p>
        </w:tc>
      </w:tr>
      <w:tr>
        <w:trPr>
          <w:cantSplit/>
        </w:trPr>
        <w:tc>
          <w:tcPr>
            <w:tcW w:type="dxa" w:w="2376"/>
            <w:vAlign w:val="center"/>
            <w:shd w:fill="F1F6F3"/>
          </w:tcPr>
          <w:p>
            <w:pPr>
              <w:spacing w:after="20" w:line="240" w:lineRule="auto"/>
            </w:pPr>
            <w:r/>
            <w:r>
              <w:rPr>
                <w:rFonts w:ascii="Aptos" w:hAnsi="Aptos"/>
                <w:b w:val="0"/>
                <w:color w:val="152520"/>
                <w:sz w:val="16"/>
              </w:rPr>
              <w:t>SLR</w:t>
            </w:r>
          </w:p>
        </w:tc>
        <w:tc>
          <w:tcPr>
            <w:tcW w:type="dxa" w:w="7488"/>
            <w:vAlign w:val="center"/>
            <w:shd w:fill="F1F6F3"/>
          </w:tcPr>
          <w:p>
            <w:pPr>
              <w:spacing w:after="20" w:line="240" w:lineRule="auto"/>
            </w:pPr>
            <w:r/>
            <w:r>
              <w:rPr>
                <w:rFonts w:ascii="Aptos" w:hAnsi="Aptos"/>
                <w:b w:val="0"/>
                <w:color w:val="152520"/>
                <w:sz w:val="16"/>
              </w:rPr>
              <w:t>Undefined in project materials; owner must define it only if it remains in scope.</w:t>
            </w:r>
          </w:p>
        </w:tc>
      </w:tr>
    </w:tbl>
    <w:p>
      <w:pPr>
        <w:spacing w:after="20"/>
      </w:pPr>
    </w:p>
    <w:p>
      <w:pPr>
        <w:pStyle w:val="Heading2"/>
        <w:keepNext/>
      </w:pPr>
      <w:r>
        <w:rPr>
          <w:rFonts w:ascii="Aptos Display" w:hAnsi="Aptos Display"/>
          <w:color w:val="153E34"/>
        </w:rPr>
        <w:t>Sign-off record</w:t>
      </w:r>
    </w:p>
    <w:tbl>
      <w:tblPr>
        <w:tblStyle w:val="TableGrid"/>
        <w:tblW w:type="auto" w:w="0"/>
        <w:jc w:val="center"/>
        <w:tblLayout w:type="fixed"/>
        <w:tblLook w:firstColumn="1" w:firstRow="1" w:lastColumn="0" w:lastRow="0" w:noHBand="0" w:noVBand="1" w:val="04A0"/>
      </w:tblPr>
      <w:tblGrid>
        <w:gridCol w:w="2376"/>
        <w:gridCol w:w="1728"/>
        <w:gridCol w:w="1944"/>
        <w:gridCol w:w="1584"/>
        <w:gridCol w:w="2232"/>
      </w:tblGrid>
      <w:tr>
        <w:trPr>
          <w:cantSplit/>
          <w:tblHeader/>
        </w:trPr>
        <w:tc>
          <w:tcPr>
            <w:tcW w:type="dxa" w:w="2376"/>
            <w:vAlign w:val="center"/>
            <w:shd w:fill="153E34"/>
          </w:tcPr>
          <w:p>
            <w:pPr>
              <w:spacing w:after="20" w:line="240" w:lineRule="auto"/>
            </w:pPr>
            <w:r/>
            <w:r>
              <w:rPr>
                <w:rFonts w:ascii="Aptos" w:hAnsi="Aptos"/>
                <w:b/>
                <w:color w:val="FFFFFF"/>
                <w:sz w:val="16"/>
              </w:rPr>
              <w:t>Decision / dataset</w:t>
            </w:r>
          </w:p>
        </w:tc>
        <w:tc>
          <w:tcPr>
            <w:tcW w:type="dxa" w:w="1728"/>
            <w:vAlign w:val="center"/>
            <w:shd w:fill="153E34"/>
          </w:tcPr>
          <w:p>
            <w:pPr>
              <w:spacing w:after="20" w:line="240" w:lineRule="auto"/>
            </w:pPr>
            <w:r/>
            <w:r>
              <w:rPr>
                <w:rFonts w:ascii="Aptos" w:hAnsi="Aptos"/>
                <w:b/>
                <w:color w:val="FFFFFF"/>
                <w:sz w:val="16"/>
              </w:rPr>
              <w:t>Prepared by</w:t>
            </w:r>
          </w:p>
        </w:tc>
        <w:tc>
          <w:tcPr>
            <w:tcW w:type="dxa" w:w="1944"/>
            <w:vAlign w:val="center"/>
            <w:shd w:fill="153E34"/>
          </w:tcPr>
          <w:p>
            <w:pPr>
              <w:spacing w:after="20" w:line="240" w:lineRule="auto"/>
            </w:pPr>
            <w:r/>
            <w:r>
              <w:rPr>
                <w:rFonts w:ascii="Aptos" w:hAnsi="Aptos"/>
                <w:b/>
                <w:color w:val="FFFFFF"/>
                <w:sz w:val="16"/>
              </w:rPr>
              <w:t>Reviewed/approved by</w:t>
            </w:r>
          </w:p>
        </w:tc>
        <w:tc>
          <w:tcPr>
            <w:tcW w:type="dxa" w:w="1584"/>
            <w:vAlign w:val="center"/>
            <w:shd w:fill="153E34"/>
          </w:tcPr>
          <w:p>
            <w:pPr>
              <w:spacing w:after="20" w:line="240" w:lineRule="auto"/>
            </w:pPr>
            <w:r/>
            <w:r>
              <w:rPr>
                <w:rFonts w:ascii="Aptos" w:hAnsi="Aptos"/>
                <w:b/>
                <w:color w:val="FFFFFF"/>
                <w:sz w:val="16"/>
              </w:rPr>
              <w:t>Version/date</w:t>
            </w:r>
          </w:p>
        </w:tc>
        <w:tc>
          <w:tcPr>
            <w:tcW w:type="dxa" w:w="2232"/>
            <w:vAlign w:val="center"/>
            <w:shd w:fill="153E34"/>
          </w:tcPr>
          <w:p>
            <w:pPr>
              <w:spacing w:after="20" w:line="240" w:lineRule="auto"/>
            </w:pPr>
            <w:r/>
            <w:r>
              <w:rPr>
                <w:rFonts w:ascii="Aptos" w:hAnsi="Aptos"/>
                <w:b/>
                <w:color w:val="FFFFFF"/>
                <w:sz w:val="16"/>
              </w:rPr>
              <w:t>Status / next action</w:t>
            </w:r>
          </w:p>
        </w:tc>
      </w:tr>
      <w:tr>
        <w:trPr>
          <w:cantSplit/>
        </w:trPr>
        <w:tc>
          <w:tcPr>
            <w:tcW w:type="dxa" w:w="2376"/>
            <w:vAlign w:val="center"/>
          </w:tcPr>
          <w:p>
            <w:pPr>
              <w:spacing w:after="20" w:line="240" w:lineRule="auto"/>
            </w:pPr>
            <w:r/>
            <w:r>
              <w:rPr>
                <w:rFonts w:ascii="Aptos" w:hAnsi="Aptos"/>
                <w:b w:val="0"/>
                <w:color w:val="152520"/>
                <w:sz w:val="15"/>
              </w:rPr>
              <w:t>________________</w:t>
            </w:r>
          </w:p>
        </w:tc>
        <w:tc>
          <w:tcPr>
            <w:tcW w:type="dxa" w:w="1728"/>
            <w:vAlign w:val="center"/>
          </w:tcPr>
          <w:p>
            <w:pPr>
              <w:spacing w:after="20" w:line="240" w:lineRule="auto"/>
            </w:pPr>
            <w:r/>
            <w:r>
              <w:rPr>
                <w:rFonts w:ascii="Aptos" w:hAnsi="Aptos"/>
                <w:b w:val="0"/>
                <w:color w:val="152520"/>
                <w:sz w:val="15"/>
              </w:rPr>
              <w:t>________________</w:t>
            </w:r>
          </w:p>
        </w:tc>
        <w:tc>
          <w:tcPr>
            <w:tcW w:type="dxa" w:w="1944"/>
            <w:vAlign w:val="center"/>
          </w:tcPr>
          <w:p>
            <w:pPr>
              <w:spacing w:after="20" w:line="240" w:lineRule="auto"/>
            </w:pPr>
            <w:r/>
            <w:r>
              <w:rPr>
                <w:rFonts w:ascii="Aptos" w:hAnsi="Aptos"/>
                <w:b w:val="0"/>
                <w:color w:val="152520"/>
                <w:sz w:val="15"/>
              </w:rPr>
              <w:t>________________</w:t>
            </w:r>
          </w:p>
        </w:tc>
        <w:tc>
          <w:tcPr>
            <w:tcW w:type="dxa" w:w="1584"/>
            <w:vAlign w:val="center"/>
          </w:tcPr>
          <w:p>
            <w:pPr>
              <w:spacing w:after="20" w:line="240" w:lineRule="auto"/>
            </w:pPr>
            <w:r/>
            <w:r>
              <w:rPr>
                <w:rFonts w:ascii="Aptos" w:hAnsi="Aptos"/>
                <w:b w:val="0"/>
                <w:color w:val="152520"/>
                <w:sz w:val="15"/>
              </w:rPr>
              <w:t>________________</w:t>
            </w:r>
          </w:p>
        </w:tc>
        <w:tc>
          <w:tcPr>
            <w:tcW w:type="dxa" w:w="2232"/>
            <w:vAlign w:val="center"/>
          </w:tcPr>
          <w:p>
            <w:pPr>
              <w:spacing w:after="20" w:line="240" w:lineRule="auto"/>
            </w:pPr>
            <w:r/>
            <w:r>
              <w:rPr>
                <w:rFonts w:ascii="Aptos" w:hAnsi="Aptos"/>
                <w:b w:val="0"/>
                <w:color w:val="152520"/>
                <w:sz w:val="15"/>
              </w:rPr>
              <w:t>________________</w:t>
            </w:r>
          </w:p>
        </w:tc>
      </w:tr>
      <w:tr>
        <w:trPr>
          <w:cantSplit/>
        </w:trPr>
        <w:tc>
          <w:tcPr>
            <w:tcW w:type="dxa" w:w="2376"/>
            <w:vAlign w:val="center"/>
            <w:shd w:fill="F1F6F3"/>
          </w:tcPr>
          <w:p>
            <w:pPr>
              <w:spacing w:after="20" w:line="240" w:lineRule="auto"/>
            </w:pPr>
            <w:r/>
            <w:r>
              <w:rPr>
                <w:rFonts w:ascii="Aptos" w:hAnsi="Aptos"/>
                <w:b w:val="0"/>
                <w:color w:val="152520"/>
                <w:sz w:val="15"/>
              </w:rPr>
              <w:t>________________</w:t>
            </w:r>
          </w:p>
        </w:tc>
        <w:tc>
          <w:tcPr>
            <w:tcW w:type="dxa" w:w="1728"/>
            <w:vAlign w:val="center"/>
            <w:shd w:fill="F1F6F3"/>
          </w:tcPr>
          <w:p>
            <w:pPr>
              <w:spacing w:after="20" w:line="240" w:lineRule="auto"/>
            </w:pPr>
            <w:r/>
            <w:r>
              <w:rPr>
                <w:rFonts w:ascii="Aptos" w:hAnsi="Aptos"/>
                <w:b w:val="0"/>
                <w:color w:val="152520"/>
                <w:sz w:val="15"/>
              </w:rPr>
              <w:t>________________</w:t>
            </w:r>
          </w:p>
        </w:tc>
        <w:tc>
          <w:tcPr>
            <w:tcW w:type="dxa" w:w="1944"/>
            <w:vAlign w:val="center"/>
            <w:shd w:fill="F1F6F3"/>
          </w:tcPr>
          <w:p>
            <w:pPr>
              <w:spacing w:after="20" w:line="240" w:lineRule="auto"/>
            </w:pPr>
            <w:r/>
            <w:r>
              <w:rPr>
                <w:rFonts w:ascii="Aptos" w:hAnsi="Aptos"/>
                <w:b w:val="0"/>
                <w:color w:val="152520"/>
                <w:sz w:val="15"/>
              </w:rPr>
              <w:t>________________</w:t>
            </w:r>
          </w:p>
        </w:tc>
        <w:tc>
          <w:tcPr>
            <w:tcW w:type="dxa" w:w="1584"/>
            <w:vAlign w:val="center"/>
            <w:shd w:fill="F1F6F3"/>
          </w:tcPr>
          <w:p>
            <w:pPr>
              <w:spacing w:after="20" w:line="240" w:lineRule="auto"/>
            </w:pPr>
            <w:r/>
            <w:r>
              <w:rPr>
                <w:rFonts w:ascii="Aptos" w:hAnsi="Aptos"/>
                <w:b w:val="0"/>
                <w:color w:val="152520"/>
                <w:sz w:val="15"/>
              </w:rPr>
              <w:t>________________</w:t>
            </w:r>
          </w:p>
        </w:tc>
        <w:tc>
          <w:tcPr>
            <w:tcW w:type="dxa" w:w="2232"/>
            <w:vAlign w:val="center"/>
            <w:shd w:fill="F1F6F3"/>
          </w:tcPr>
          <w:p>
            <w:pPr>
              <w:spacing w:after="20" w:line="240" w:lineRule="auto"/>
            </w:pPr>
            <w:r/>
            <w:r>
              <w:rPr>
                <w:rFonts w:ascii="Aptos" w:hAnsi="Aptos"/>
                <w:b w:val="0"/>
                <w:color w:val="152520"/>
                <w:sz w:val="15"/>
              </w:rPr>
              <w:t>________________</w:t>
            </w:r>
          </w:p>
        </w:tc>
      </w:tr>
      <w:tr>
        <w:trPr>
          <w:cantSplit/>
        </w:trPr>
        <w:tc>
          <w:tcPr>
            <w:tcW w:type="dxa" w:w="2376"/>
            <w:vAlign w:val="center"/>
          </w:tcPr>
          <w:p>
            <w:pPr>
              <w:spacing w:after="20" w:line="240" w:lineRule="auto"/>
            </w:pPr>
            <w:r/>
            <w:r>
              <w:rPr>
                <w:rFonts w:ascii="Aptos" w:hAnsi="Aptos"/>
                <w:b w:val="0"/>
                <w:color w:val="152520"/>
                <w:sz w:val="15"/>
              </w:rPr>
              <w:t>________________</w:t>
            </w:r>
          </w:p>
        </w:tc>
        <w:tc>
          <w:tcPr>
            <w:tcW w:type="dxa" w:w="1728"/>
            <w:vAlign w:val="center"/>
          </w:tcPr>
          <w:p>
            <w:pPr>
              <w:spacing w:after="20" w:line="240" w:lineRule="auto"/>
            </w:pPr>
            <w:r/>
            <w:r>
              <w:rPr>
                <w:rFonts w:ascii="Aptos" w:hAnsi="Aptos"/>
                <w:b w:val="0"/>
                <w:color w:val="152520"/>
                <w:sz w:val="15"/>
              </w:rPr>
              <w:t>________________</w:t>
            </w:r>
          </w:p>
        </w:tc>
        <w:tc>
          <w:tcPr>
            <w:tcW w:type="dxa" w:w="1944"/>
            <w:vAlign w:val="center"/>
          </w:tcPr>
          <w:p>
            <w:pPr>
              <w:spacing w:after="20" w:line="240" w:lineRule="auto"/>
            </w:pPr>
            <w:r/>
            <w:r>
              <w:rPr>
                <w:rFonts w:ascii="Aptos" w:hAnsi="Aptos"/>
                <w:b w:val="0"/>
                <w:color w:val="152520"/>
                <w:sz w:val="15"/>
              </w:rPr>
              <w:t>________________</w:t>
            </w:r>
          </w:p>
        </w:tc>
        <w:tc>
          <w:tcPr>
            <w:tcW w:type="dxa" w:w="1584"/>
            <w:vAlign w:val="center"/>
          </w:tcPr>
          <w:p>
            <w:pPr>
              <w:spacing w:after="20" w:line="240" w:lineRule="auto"/>
            </w:pPr>
            <w:r/>
            <w:r>
              <w:rPr>
                <w:rFonts w:ascii="Aptos" w:hAnsi="Aptos"/>
                <w:b w:val="0"/>
                <w:color w:val="152520"/>
                <w:sz w:val="15"/>
              </w:rPr>
              <w:t>________________</w:t>
            </w:r>
          </w:p>
        </w:tc>
        <w:tc>
          <w:tcPr>
            <w:tcW w:type="dxa" w:w="2232"/>
            <w:vAlign w:val="center"/>
          </w:tcPr>
          <w:p>
            <w:pPr>
              <w:spacing w:after="20" w:line="240" w:lineRule="auto"/>
            </w:pPr>
            <w:r/>
            <w:r>
              <w:rPr>
                <w:rFonts w:ascii="Aptos" w:hAnsi="Aptos"/>
                <w:b w:val="0"/>
                <w:color w:val="152520"/>
                <w:sz w:val="15"/>
              </w:rPr>
              <w:t>________________</w:t>
            </w:r>
          </w:p>
        </w:tc>
      </w:tr>
    </w:tbl>
    <w:p>
      <w:pPr>
        <w:spacing w:after="20"/>
      </w:pPr>
    </w:p>
    <w:sectPr w:rsidR="00FC693F" w:rsidRPr="0006063C" w:rsidSect="00034616">
      <w:headerReference w:type="default" r:id="rId9"/>
      <w:footerReference w:type="default" r:id="rId10"/>
      <w:pgSz w:w="11909" w:h="16834"/>
      <w:pgMar w:top="950" w:right="979" w:bottom="950" w:left="979"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6716A"/>
        <w:sz w:val="14"/>
      </w:rPr>
      <w:t xml:space="preserve">Implementation input workbook  •  4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6716A"/>
        <w:sz w:val="14"/>
      </w:rPr>
      <w:t>LEGAL ENGINE  |  OWNER &amp; ADVOCATE INPUT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525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25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252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252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color w:val="15252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i/>
      <w:iCs/>
      <w:color w:val="15252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Legal Decision Intelligence Engine — Project Owner and Advocate Input Guide</dc:title>
  <dc:subject>Module-by-module implementation inputs, preferred solutions, formats, and acceptance checks</dc:subject>
  <dc:creator>Project Team</dc:creator>
  <cp:keywords>legal AI, advocate annotation, implementation inputs, evaluation, project guide</cp:keywords>
  <dc:description>generated by python-docx</dc:description>
  <cp:lastModifiedBy/>
  <cp:revision>1</cp:revision>
  <dcterms:created xsi:type="dcterms:W3CDTF">2013-12-23T23:15:00Z</dcterms:created>
  <dcterms:modified xsi:type="dcterms:W3CDTF">2013-12-23T23:15:00Z</dcterms:modified>
  <cp:category/>
</cp:coreProperties>
</file>