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FF25" w14:textId="77777777" w:rsidR="00572BCD" w:rsidRPr="005514DD" w:rsidRDefault="00572BCD" w:rsidP="00572BCD">
      <w:pPr>
        <w:pStyle w:val="TableofFigures"/>
        <w:tabs>
          <w:tab w:val="right" w:leader="dot" w:pos="10457"/>
        </w:tabs>
      </w:pPr>
      <w:bookmarkStart w:id="0" w:name="_Toc492914143"/>
      <w:bookmarkStart w:id="1" w:name="_Toc3907504"/>
      <w:r w:rsidRPr="000F4715">
        <w:t>Objectives</w:t>
      </w:r>
      <w:bookmarkEnd w:id="0"/>
      <w:bookmarkEnd w:id="1"/>
    </w:p>
    <w:p w14:paraId="6CF9F925" w14:textId="7B14490B" w:rsidR="00572BCD" w:rsidRDefault="00572BCD" w:rsidP="00572BCD">
      <w:pPr>
        <w:ind w:left="360"/>
        <w:jc w:val="both"/>
        <w:rPr>
          <w:szCs w:val="28"/>
        </w:rPr>
      </w:pPr>
      <w:r>
        <w:rPr>
          <w:rFonts w:eastAsia="Batang" w:cs="Calibri"/>
          <w:lang w:val="en-GB"/>
        </w:rPr>
        <w:t xml:space="preserve">This document covers the business requirements of </w:t>
      </w:r>
      <w:r>
        <w:rPr>
          <w:rFonts w:eastAsia="Batang" w:cs="Calibri"/>
          <w:lang w:val="en-GB"/>
        </w:rPr>
        <w:t>client</w:t>
      </w:r>
      <w:r>
        <w:rPr>
          <w:rFonts w:eastAsia="Batang" w:cs="Calibri"/>
          <w:lang w:val="en-GB"/>
        </w:rPr>
        <w:t xml:space="preserve"> based on the discussions held with the </w:t>
      </w:r>
      <w:r>
        <w:rPr>
          <w:rFonts w:eastAsia="Batang" w:cs="Calibri"/>
          <w:lang w:val="en-GB"/>
        </w:rPr>
        <w:t>client</w:t>
      </w:r>
      <w:r>
        <w:rPr>
          <w:rFonts w:eastAsia="Batang" w:cs="Calibri"/>
          <w:lang w:val="en-GB"/>
        </w:rPr>
        <w:t xml:space="preserve"> team, during the Product Solution Analysis (PSA) session. This document also covers the solutions available in </w:t>
      </w:r>
      <w:r>
        <w:rPr>
          <w:rFonts w:eastAsia="Batang" w:cs="Calibri"/>
          <w:lang w:val="en-GB"/>
        </w:rPr>
        <w:t>Application</w:t>
      </w:r>
      <w:r>
        <w:rPr>
          <w:rFonts w:eastAsia="Batang" w:cs="Calibri"/>
          <w:lang w:val="en-GB"/>
        </w:rPr>
        <w:t xml:space="preserve"> for such requirements. During Solution Analysis, if any gap is identified between the requirement of the bank and current capability of the system, then the associated business requirement along with gap reference will be provided in the document.</w:t>
      </w:r>
    </w:p>
    <w:p w14:paraId="4CD7F4F4" w14:textId="77777777" w:rsidR="00572BCD" w:rsidRDefault="00572BCD" w:rsidP="00572BCD">
      <w:pPr>
        <w:pStyle w:val="Heading1"/>
        <w:keepNext w:val="0"/>
        <w:keepLines w:val="0"/>
        <w:spacing w:after="360" w:line="240" w:lineRule="auto"/>
        <w:ind w:left="720" w:hanging="360"/>
      </w:pPr>
      <w:bookmarkStart w:id="2" w:name="__RefHeading__5_816987"/>
      <w:bookmarkStart w:id="3" w:name="_Toc492914144"/>
      <w:bookmarkStart w:id="4" w:name="_Toc3907505"/>
      <w:bookmarkStart w:id="5" w:name="_Toc58384403"/>
      <w:bookmarkEnd w:id="2"/>
      <w:r w:rsidRPr="000F4715">
        <w:t>Topics Covered</w:t>
      </w:r>
      <w:bookmarkEnd w:id="3"/>
      <w:bookmarkEnd w:id="4"/>
      <w:bookmarkEnd w:id="5"/>
    </w:p>
    <w:p w14:paraId="13DD1FDE" w14:textId="77777777" w:rsidR="00572BCD" w:rsidRPr="00F654E8" w:rsidRDefault="00572BCD" w:rsidP="00572BCD">
      <w:pPr>
        <w:spacing w:after="0"/>
        <w:ind w:firstLine="360"/>
      </w:pPr>
      <w:r w:rsidRPr="00F654E8">
        <w:t xml:space="preserve">This document covers the topic </w:t>
      </w:r>
      <w:r>
        <w:rPr>
          <w:b/>
        </w:rPr>
        <w:t>Current and Savings account (CASA) and Term Deposit functionality</w:t>
      </w:r>
      <w:r w:rsidRPr="00F654E8">
        <w:t>.</w:t>
      </w:r>
    </w:p>
    <w:p w14:paraId="251C385B" w14:textId="77777777" w:rsidR="00572BCD" w:rsidRDefault="00572BCD" w:rsidP="00572BCD">
      <w:pPr>
        <w:ind w:left="360"/>
        <w:jc w:val="both"/>
        <w:rPr>
          <w:rFonts w:ascii="Arial" w:eastAsia="Batang" w:hAnsi="Arial"/>
          <w:sz w:val="20"/>
          <w:szCs w:val="20"/>
          <w:lang w:val="en-GB"/>
        </w:rPr>
      </w:pPr>
    </w:p>
    <w:p w14:paraId="46AAB115" w14:textId="77777777" w:rsidR="00572BCD" w:rsidRDefault="00572BCD" w:rsidP="00572BCD">
      <w:pPr>
        <w:pStyle w:val="Heading1"/>
      </w:pPr>
      <w:bookmarkStart w:id="6" w:name="__RefHeading__7_816987"/>
      <w:bookmarkStart w:id="7" w:name="_Requirement_ID_2"/>
      <w:bookmarkStart w:id="8" w:name="__RefHeading__9_816987"/>
      <w:bookmarkStart w:id="9" w:name="__RefHeading__11_816987"/>
      <w:bookmarkStart w:id="10" w:name="_Toc58384404"/>
      <w:bookmarkEnd w:id="6"/>
      <w:bookmarkEnd w:id="7"/>
      <w:bookmarkEnd w:id="8"/>
      <w:bookmarkEnd w:id="9"/>
      <w:r>
        <w:t>Solution Analysis Discussion</w:t>
      </w:r>
      <w:bookmarkEnd w:id="10"/>
    </w:p>
    <w:p w14:paraId="1D584B0C" w14:textId="77777777" w:rsidR="00572BCD" w:rsidRPr="00721D3B" w:rsidRDefault="00572BCD" w:rsidP="00572BCD">
      <w:pPr>
        <w:pStyle w:val="Heading2"/>
        <w:rPr>
          <w:lang w:val="en-AU" w:eastAsia="ar-SA"/>
        </w:rPr>
      </w:pPr>
      <w:bookmarkStart w:id="11" w:name="_Toc58384405"/>
      <w:r>
        <w:rPr>
          <w:lang w:val="en-AU" w:eastAsia="ar-SA"/>
        </w:rPr>
        <w:t>CASA Product Configuration</w:t>
      </w:r>
      <w:bookmarkEnd w:id="11"/>
    </w:p>
    <w:p w14:paraId="5F43CBB9" w14:textId="77777777" w:rsidR="00572BCD" w:rsidRPr="006612FC" w:rsidRDefault="00572BCD" w:rsidP="00572BCD">
      <w:pPr>
        <w:pStyle w:val="Heading3"/>
        <w:rPr>
          <w:lang w:val="en-AU" w:eastAsia="ar-SA"/>
        </w:rPr>
      </w:pPr>
      <w:bookmarkStart w:id="12" w:name="_Toc58384406"/>
      <w:r w:rsidRPr="006612FC">
        <w:rPr>
          <w:lang w:val="en-AU" w:eastAsia="ar-SA"/>
        </w:rPr>
        <w:t>Requirement</w:t>
      </w:r>
      <w:bookmarkEnd w:id="12"/>
    </w:p>
    <w:p w14:paraId="46EB532B" w14:textId="74F60572"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Current accounts in </w:t>
      </w:r>
      <w:r>
        <w:rPr>
          <w:rFonts w:cs="Calibri"/>
          <w:color w:val="212121"/>
          <w:lang w:val="en-AU"/>
        </w:rPr>
        <w:t>CLIENT</w:t>
      </w:r>
      <w:r>
        <w:rPr>
          <w:rFonts w:cs="Calibri"/>
          <w:color w:val="212121"/>
          <w:lang w:val="en-AU"/>
        </w:rPr>
        <w:t xml:space="preserve"> are primarily settlement accounts for loan repayments</w:t>
      </w:r>
    </w:p>
    <w:p w14:paraId="4CE28617" w14:textId="19D7FD84"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All current accounts in </w:t>
      </w:r>
      <w:r>
        <w:rPr>
          <w:rFonts w:cs="Calibri"/>
          <w:color w:val="212121"/>
          <w:lang w:val="en-AU"/>
        </w:rPr>
        <w:t>CLIENT</w:t>
      </w:r>
      <w:r>
        <w:rPr>
          <w:rFonts w:cs="Calibri"/>
          <w:color w:val="212121"/>
          <w:lang w:val="en-AU"/>
        </w:rPr>
        <w:t xml:space="preserve"> are zero interest bearing products</w:t>
      </w:r>
    </w:p>
    <w:p w14:paraId="293F08A8"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Further, there are call account products which are interest bearing</w:t>
      </w:r>
    </w:p>
    <w:p w14:paraId="723BE8E0"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The product should support cheque book issuance and dormancy calculations</w:t>
      </w:r>
    </w:p>
    <w:p w14:paraId="7F61BD07" w14:textId="77777777" w:rsidR="00572BCD" w:rsidRPr="00EC676A" w:rsidRDefault="00572BCD" w:rsidP="00572BCD">
      <w:pPr>
        <w:numPr>
          <w:ilvl w:val="0"/>
          <w:numId w:val="2"/>
        </w:numPr>
        <w:spacing w:after="0" w:line="240" w:lineRule="auto"/>
        <w:jc w:val="both"/>
        <w:rPr>
          <w:rFonts w:cs="Calibri"/>
          <w:color w:val="212121"/>
          <w:highlight w:val="yellow"/>
          <w:lang w:val="en-AU"/>
        </w:rPr>
      </w:pPr>
      <w:r w:rsidRPr="00EC676A">
        <w:rPr>
          <w:rFonts w:cs="Calibri"/>
          <w:color w:val="212121"/>
          <w:highlight w:val="yellow"/>
          <w:lang w:val="en-AU"/>
        </w:rPr>
        <w:t>Islamic deposit products are not required currently</w:t>
      </w:r>
    </w:p>
    <w:p w14:paraId="639DA5DC"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Overdraft facility on current accounts </w:t>
      </w:r>
      <w:proofErr w:type="gramStart"/>
      <w:r>
        <w:rPr>
          <w:rFonts w:cs="Calibri"/>
          <w:color w:val="212121"/>
          <w:lang w:val="en-AU"/>
        </w:rPr>
        <w:t>need</w:t>
      </w:r>
      <w:proofErr w:type="gramEnd"/>
      <w:r>
        <w:rPr>
          <w:rFonts w:cs="Calibri"/>
          <w:color w:val="212121"/>
          <w:lang w:val="en-AU"/>
        </w:rPr>
        <w:t xml:space="preserve"> to be enabled at product level</w:t>
      </w:r>
    </w:p>
    <w:p w14:paraId="31F0CD8D" w14:textId="4D876ABE" w:rsidR="00572BCD" w:rsidRPr="00DE2F6F"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sidRPr="00DE2F6F">
        <w:rPr>
          <w:rFonts w:cs="Calibri"/>
          <w:color w:val="212121"/>
          <w:lang w:val="en-AU"/>
        </w:rPr>
        <w:t xml:space="preserve"> does not require savings account</w:t>
      </w:r>
    </w:p>
    <w:p w14:paraId="7E0A71E3" w14:textId="09CB95A4" w:rsidR="00572BCD" w:rsidRPr="00DE2F6F"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sidRPr="00DE2F6F">
        <w:rPr>
          <w:rFonts w:cs="Calibri"/>
          <w:color w:val="212121"/>
          <w:lang w:val="en-AU"/>
        </w:rPr>
        <w:t xml:space="preserve"> does not require card linkage to its current accounts</w:t>
      </w:r>
    </w:p>
    <w:p w14:paraId="71BFFF3B" w14:textId="77777777" w:rsidR="00572BCD" w:rsidRPr="006612FC" w:rsidRDefault="00572BCD" w:rsidP="00572BCD">
      <w:pPr>
        <w:pStyle w:val="Heading3"/>
        <w:rPr>
          <w:lang w:val="en-AU" w:eastAsia="ar-SA"/>
        </w:rPr>
      </w:pPr>
      <w:bookmarkStart w:id="13" w:name="_Toc58384407"/>
      <w:r w:rsidRPr="006612FC">
        <w:rPr>
          <w:lang w:val="en-AU" w:eastAsia="ar-SA"/>
        </w:rPr>
        <w:t>Solution Mapping:</w:t>
      </w:r>
      <w:bookmarkEnd w:id="13"/>
      <w:r w:rsidRPr="006612FC">
        <w:rPr>
          <w:lang w:val="en-AU" w:eastAsia="ar-SA"/>
        </w:rPr>
        <w:t xml:space="preserve"> </w:t>
      </w:r>
    </w:p>
    <w:p w14:paraId="6DAF7EAE"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System supports configuration of current accounts with overdraft allowed flag Yes or No.</w:t>
      </w:r>
    </w:p>
    <w:p w14:paraId="009BC9FB"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Current accounts can be configured to have interest bearing or non- interest bearing</w:t>
      </w:r>
    </w:p>
    <w:p w14:paraId="73A063E5"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Following specific product configurations are supported (select attributes are only referred)</w:t>
      </w:r>
    </w:p>
    <w:p w14:paraId="6B252D7E"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Overdraft flag</w:t>
      </w:r>
    </w:p>
    <w:p w14:paraId="0C4F3655"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Sweeps flag</w:t>
      </w:r>
    </w:p>
    <w:p w14:paraId="55E42296"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Cheque book flag</w:t>
      </w:r>
    </w:p>
    <w:p w14:paraId="2C0FA7D0"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Dormancy flag</w:t>
      </w:r>
    </w:p>
    <w:p w14:paraId="6FA5AFCD"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Corporate or retail product definition</w:t>
      </w:r>
    </w:p>
    <w:p w14:paraId="42563220"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Access channel restrictions like Internet, Mobile, Call centre etc.</w:t>
      </w:r>
    </w:p>
    <w:p w14:paraId="7FCDC9C4"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The product attributes will be inherited at account level on selection of product and user has the capability to override applicable attributes</w:t>
      </w:r>
    </w:p>
    <w:p w14:paraId="14C263BC" w14:textId="77777777" w:rsidR="00572BCD" w:rsidRDefault="00572BCD" w:rsidP="00572BCD">
      <w:pPr>
        <w:keepNext/>
        <w:keepLines/>
        <w:numPr>
          <w:ilvl w:val="0"/>
          <w:numId w:val="2"/>
        </w:numPr>
        <w:spacing w:after="0" w:line="240" w:lineRule="auto"/>
        <w:jc w:val="both"/>
        <w:rPr>
          <w:rFonts w:cs="Calibri"/>
          <w:color w:val="212121"/>
          <w:lang w:val="en-AU"/>
        </w:rPr>
      </w:pPr>
      <w:r>
        <w:rPr>
          <w:rFonts w:cs="Calibri"/>
          <w:color w:val="212121"/>
          <w:lang w:val="en-AU"/>
        </w:rPr>
        <w:lastRenderedPageBreak/>
        <w:t>Out of box screen of current account product configuration is given below:</w:t>
      </w:r>
    </w:p>
    <w:p w14:paraId="0078DCC5" w14:textId="77777777" w:rsidR="00572BCD" w:rsidRDefault="00572BCD" w:rsidP="00572BCD">
      <w:pPr>
        <w:spacing w:after="0" w:line="240" w:lineRule="auto"/>
        <w:jc w:val="both"/>
        <w:rPr>
          <w:rFonts w:cs="Calibri"/>
          <w:color w:val="212121"/>
          <w:lang w:val="en-AU"/>
        </w:rPr>
      </w:pPr>
      <w:r>
        <w:rPr>
          <w:noProof/>
        </w:rPr>
        <w:drawing>
          <wp:inline distT="0" distB="0" distL="0" distR="0" wp14:anchorId="680CF908" wp14:editId="0FEEDCE3">
            <wp:extent cx="5732145" cy="2609215"/>
            <wp:effectExtent l="19050" t="19050" r="20955" b="19685"/>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5"/>
                    <a:stretch>
                      <a:fillRect/>
                    </a:stretch>
                  </pic:blipFill>
                  <pic:spPr>
                    <a:xfrm>
                      <a:off x="0" y="0"/>
                      <a:ext cx="5732145" cy="2609215"/>
                    </a:xfrm>
                    <a:prstGeom prst="rect">
                      <a:avLst/>
                    </a:prstGeom>
                    <a:ln>
                      <a:solidFill>
                        <a:schemeClr val="accent1"/>
                      </a:solidFill>
                    </a:ln>
                  </pic:spPr>
                </pic:pic>
              </a:graphicData>
            </a:graphic>
          </wp:inline>
        </w:drawing>
      </w:r>
    </w:p>
    <w:p w14:paraId="37BA3142" w14:textId="77777777" w:rsidR="00572BCD" w:rsidRDefault="00572BCD" w:rsidP="00572BCD">
      <w:pPr>
        <w:pStyle w:val="Caption"/>
        <w:rPr>
          <w:color w:val="212121"/>
          <w:lang w:val="en-AU"/>
        </w:rPr>
      </w:pPr>
      <w:r>
        <w:tab/>
      </w:r>
      <w:bookmarkStart w:id="14" w:name="_Toc58384440"/>
      <w:r w:rsidRPr="005514DD">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5514DD">
        <w:t xml:space="preserve">: </w:t>
      </w:r>
      <w:r>
        <w:t>Current Account product configuration</w:t>
      </w:r>
      <w:bookmarkEnd w:id="14"/>
    </w:p>
    <w:p w14:paraId="7D007396" w14:textId="77777777" w:rsidR="00572BCD" w:rsidRPr="006612FC" w:rsidRDefault="00572BCD" w:rsidP="00572BCD">
      <w:pPr>
        <w:pStyle w:val="Heading3"/>
        <w:rPr>
          <w:lang w:val="en-AU" w:eastAsia="ar-SA"/>
        </w:rPr>
      </w:pPr>
      <w:bookmarkStart w:id="15" w:name="_Toc58384408"/>
      <w:r w:rsidRPr="006612FC">
        <w:rPr>
          <w:lang w:val="en-AU" w:eastAsia="ar-SA"/>
        </w:rPr>
        <w:t>Gap:</w:t>
      </w:r>
      <w:bookmarkEnd w:id="15"/>
    </w:p>
    <w:p w14:paraId="155F3928"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No Gap</w:t>
      </w:r>
    </w:p>
    <w:p w14:paraId="01206A28" w14:textId="77777777" w:rsidR="00572BCD" w:rsidRPr="00A423FF" w:rsidRDefault="00572BCD" w:rsidP="00572BCD">
      <w:pPr>
        <w:pStyle w:val="Heading2"/>
        <w:rPr>
          <w:lang w:eastAsia="ar-SA"/>
        </w:rPr>
      </w:pPr>
      <w:bookmarkStart w:id="16" w:name="_Toc58384409"/>
      <w:r>
        <w:rPr>
          <w:lang w:eastAsia="ar-SA"/>
        </w:rPr>
        <w:t>Current Accounts</w:t>
      </w:r>
      <w:bookmarkEnd w:id="16"/>
    </w:p>
    <w:p w14:paraId="539543F7" w14:textId="77777777" w:rsidR="00572BCD" w:rsidRPr="006612FC" w:rsidRDefault="00572BCD" w:rsidP="00572BCD">
      <w:pPr>
        <w:pStyle w:val="Heading3"/>
        <w:rPr>
          <w:lang w:val="en-AU" w:eastAsia="ar-SA"/>
        </w:rPr>
      </w:pPr>
      <w:bookmarkStart w:id="17" w:name="_Toc58384410"/>
      <w:r w:rsidRPr="006612FC">
        <w:rPr>
          <w:lang w:val="en-AU" w:eastAsia="ar-SA"/>
        </w:rPr>
        <w:t>Requirement</w:t>
      </w:r>
      <w:bookmarkEnd w:id="17"/>
    </w:p>
    <w:p w14:paraId="205D46DB"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Current Accounts are created under the configured product</w:t>
      </w:r>
    </w:p>
    <w:p w14:paraId="3574029F" w14:textId="2B32F948"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All the current accounts in </w:t>
      </w:r>
      <w:r>
        <w:rPr>
          <w:rFonts w:cs="Calibri"/>
          <w:color w:val="212121"/>
          <w:lang w:val="en-AU"/>
        </w:rPr>
        <w:t>CLIENT</w:t>
      </w:r>
      <w:r>
        <w:rPr>
          <w:rFonts w:cs="Calibri"/>
          <w:color w:val="212121"/>
          <w:lang w:val="en-AU"/>
        </w:rPr>
        <w:t xml:space="preserve"> are non-interest bearing</w:t>
      </w:r>
    </w:p>
    <w:p w14:paraId="3E95570B"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Salary payments, cheque clearing, Direct Debits and EFTS payments incoming/outgoing on behalf of linked loan accounts will occur in customer’s current account</w:t>
      </w:r>
    </w:p>
    <w:p w14:paraId="02390D34" w14:textId="47D5EBD2"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Since Loan account numbering of </w:t>
      </w:r>
      <w:r>
        <w:rPr>
          <w:rFonts w:cs="Calibri"/>
          <w:color w:val="212121"/>
          <w:lang w:val="en-AU"/>
        </w:rPr>
        <w:t>CLIENT</w:t>
      </w:r>
      <w:r>
        <w:rPr>
          <w:rFonts w:cs="Calibri"/>
          <w:color w:val="212121"/>
          <w:lang w:val="en-AU"/>
        </w:rPr>
        <w:t xml:space="preserve"> does not adhere to BBAN standards, all external payments inward/outward on behalf of linked loan account needs to be processed via current account only</w:t>
      </w:r>
    </w:p>
    <w:p w14:paraId="61BC2CF3"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In addition, standard current account business where customer issues cheques, processes salary payments, pay/credit invoices also occur in current account</w:t>
      </w:r>
    </w:p>
    <w:p w14:paraId="0B1554CD"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Following Account relation types need to be recorded at account level</w:t>
      </w:r>
    </w:p>
    <w:p w14:paraId="4C6303E1"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Owner</w:t>
      </w:r>
    </w:p>
    <w:p w14:paraId="0D98AC8D"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Parent/Guardian</w:t>
      </w:r>
    </w:p>
    <w:p w14:paraId="35206096"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Director</w:t>
      </w:r>
    </w:p>
    <w:p w14:paraId="36261948"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Authorised Signatory</w:t>
      </w:r>
    </w:p>
    <w:p w14:paraId="6EA4C13C"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Related Party</w:t>
      </w:r>
    </w:p>
    <w:p w14:paraId="41961215" w14:textId="36340E89" w:rsidR="00572BCD" w:rsidRPr="00A14045"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Joint account with </w:t>
      </w:r>
      <w:r>
        <w:rPr>
          <w:rFonts w:cs="Calibri"/>
          <w:color w:val="212121"/>
          <w:lang w:val="en-AU"/>
        </w:rPr>
        <w:t>CLIENT</w:t>
      </w:r>
      <w:r>
        <w:rPr>
          <w:rFonts w:cs="Calibri"/>
          <w:color w:val="212121"/>
          <w:lang w:val="en-AU"/>
        </w:rPr>
        <w:t xml:space="preserve"> and customer ownership is required</w:t>
      </w:r>
    </w:p>
    <w:p w14:paraId="35409010" w14:textId="77777777" w:rsidR="00572BCD" w:rsidRPr="006612FC" w:rsidRDefault="00572BCD" w:rsidP="00572BCD">
      <w:pPr>
        <w:pStyle w:val="Heading3"/>
        <w:rPr>
          <w:lang w:val="en-AU" w:eastAsia="ar-SA"/>
        </w:rPr>
      </w:pPr>
      <w:bookmarkStart w:id="18" w:name="_Toc58384411"/>
      <w:r w:rsidRPr="006612FC">
        <w:rPr>
          <w:lang w:val="en-AU" w:eastAsia="ar-SA"/>
        </w:rPr>
        <w:lastRenderedPageBreak/>
        <w:t>Solution Mapping:</w:t>
      </w:r>
      <w:bookmarkEnd w:id="18"/>
      <w:r w:rsidRPr="006612FC">
        <w:rPr>
          <w:lang w:val="en-AU" w:eastAsia="ar-SA"/>
        </w:rPr>
        <w:t xml:space="preserve"> </w:t>
      </w:r>
    </w:p>
    <w:p w14:paraId="08E386E3" w14:textId="77777777" w:rsidR="00572BCD" w:rsidRDefault="00572BCD" w:rsidP="00572BCD">
      <w:pPr>
        <w:keepNext/>
        <w:keepLines/>
        <w:numPr>
          <w:ilvl w:val="0"/>
          <w:numId w:val="2"/>
        </w:numPr>
        <w:spacing w:after="0" w:line="240" w:lineRule="auto"/>
        <w:jc w:val="both"/>
        <w:rPr>
          <w:rFonts w:cs="Calibri"/>
          <w:color w:val="212121"/>
          <w:lang w:val="en-AU"/>
        </w:rPr>
      </w:pPr>
      <w:r>
        <w:rPr>
          <w:rFonts w:cs="Calibri"/>
          <w:color w:val="212121"/>
          <w:lang w:val="en-AU"/>
        </w:rPr>
        <w:t>System supports current accounts creation and maintenance of current accounts for the life of account</w:t>
      </w:r>
    </w:p>
    <w:p w14:paraId="1BBA7A79" w14:textId="77777777" w:rsidR="00572BCD" w:rsidRDefault="00572BCD" w:rsidP="00572BCD">
      <w:pPr>
        <w:spacing w:after="0" w:line="240" w:lineRule="auto"/>
        <w:jc w:val="both"/>
        <w:rPr>
          <w:rFonts w:cs="Calibri"/>
          <w:color w:val="212121"/>
          <w:lang w:val="en-AU"/>
        </w:rPr>
      </w:pPr>
      <w:r>
        <w:rPr>
          <w:noProof/>
        </w:rPr>
        <w:drawing>
          <wp:inline distT="0" distB="0" distL="0" distR="0" wp14:anchorId="1651BD0C" wp14:editId="599CB46C">
            <wp:extent cx="5732145" cy="2257425"/>
            <wp:effectExtent l="0" t="0" r="1905" b="9525"/>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6"/>
                    <a:stretch>
                      <a:fillRect/>
                    </a:stretch>
                  </pic:blipFill>
                  <pic:spPr>
                    <a:xfrm>
                      <a:off x="0" y="0"/>
                      <a:ext cx="5732145" cy="2257425"/>
                    </a:xfrm>
                    <a:prstGeom prst="rect">
                      <a:avLst/>
                    </a:prstGeom>
                  </pic:spPr>
                </pic:pic>
              </a:graphicData>
            </a:graphic>
          </wp:inline>
        </w:drawing>
      </w:r>
    </w:p>
    <w:p w14:paraId="5BF93CC9" w14:textId="77777777" w:rsidR="00572BCD" w:rsidRDefault="00572BCD" w:rsidP="00572BCD">
      <w:pPr>
        <w:pStyle w:val="Caption"/>
        <w:rPr>
          <w:color w:val="212121"/>
          <w:lang w:val="en-AU"/>
        </w:rPr>
      </w:pPr>
      <w:r>
        <w:tab/>
      </w:r>
      <w:bookmarkStart w:id="19" w:name="_Toc58384441"/>
      <w:r w:rsidRPr="005514DD">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sidRPr="005514DD">
        <w:t xml:space="preserve">: </w:t>
      </w:r>
      <w:r>
        <w:t>Current Account Creation</w:t>
      </w:r>
      <w:bookmarkEnd w:id="19"/>
    </w:p>
    <w:p w14:paraId="039DDA24" w14:textId="77777777" w:rsidR="00572BCD" w:rsidRPr="00641CE7" w:rsidRDefault="00572BCD" w:rsidP="00572BCD">
      <w:pPr>
        <w:numPr>
          <w:ilvl w:val="0"/>
          <w:numId w:val="2"/>
        </w:numPr>
        <w:spacing w:after="0" w:line="240" w:lineRule="auto"/>
        <w:jc w:val="both"/>
        <w:rPr>
          <w:rFonts w:cs="Calibri"/>
          <w:color w:val="212121"/>
          <w:highlight w:val="yellow"/>
          <w:lang w:val="en-AU"/>
        </w:rPr>
      </w:pPr>
      <w:r w:rsidRPr="00641CE7">
        <w:rPr>
          <w:rFonts w:cs="Calibri"/>
          <w:color w:val="212121"/>
          <w:highlight w:val="yellow"/>
          <w:lang w:val="en-AU"/>
        </w:rPr>
        <w:t>Payments functions like Salary file processing, Direct Debit, Standing Orders, EFTS payments are out of scope of this document as those will be covered as part of Payments Solution walkthrough document</w:t>
      </w:r>
    </w:p>
    <w:p w14:paraId="59C658DD"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 Following functions are supported for current accounts in system:</w:t>
      </w:r>
    </w:p>
    <w:p w14:paraId="294C028F"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Account Information</w:t>
      </w:r>
    </w:p>
    <w:p w14:paraId="640AED7B"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Holder and Mandate List (Mandate Matrix)</w:t>
      </w:r>
    </w:p>
    <w:p w14:paraId="1245771B"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Account Address</w:t>
      </w:r>
    </w:p>
    <w:p w14:paraId="0DF6FE1C"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Tax Exemption (VAT)</w:t>
      </w:r>
    </w:p>
    <w:p w14:paraId="577F2D98"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Cheque book Management (covered as a separate section)</w:t>
      </w:r>
    </w:p>
    <w:p w14:paraId="45050D9D"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Issue MC</w:t>
      </w:r>
    </w:p>
    <w:p w14:paraId="6DE8215D"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Interest condition</w:t>
      </w:r>
    </w:p>
    <w:p w14:paraId="7D54EB1C"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OD Limits (covered as a separate section)</w:t>
      </w:r>
    </w:p>
    <w:p w14:paraId="3DCC9AF7"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Sweep</w:t>
      </w:r>
    </w:p>
    <w:p w14:paraId="6D61D111"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Account Statements, Inquiries- Financial, Non-financial</w:t>
      </w:r>
    </w:p>
    <w:p w14:paraId="5C9E631F"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Cash block</w:t>
      </w:r>
    </w:p>
    <w:p w14:paraId="434D9678"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Channel Access restriction (Override from Product configuration)</w:t>
      </w:r>
    </w:p>
    <w:p w14:paraId="12925D40"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Automatic Term Deposit Sweep</w:t>
      </w:r>
    </w:p>
    <w:p w14:paraId="14102A0F"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Nominee Information</w:t>
      </w:r>
    </w:p>
    <w:p w14:paraId="4B2A31B4"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Report Subscriptions at account level for certificates, statements etc.</w:t>
      </w:r>
    </w:p>
    <w:p w14:paraId="2CC19F55" w14:textId="58BFFA46"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Joint accounts with </w:t>
      </w:r>
      <w:r>
        <w:rPr>
          <w:rFonts w:cs="Calibri"/>
          <w:color w:val="212121"/>
          <w:lang w:val="en-AU"/>
        </w:rPr>
        <w:t>CLIENT</w:t>
      </w:r>
      <w:r>
        <w:rPr>
          <w:rFonts w:cs="Calibri"/>
          <w:color w:val="212121"/>
          <w:lang w:val="en-AU"/>
        </w:rPr>
        <w:t xml:space="preserve"> and customer can be set up</w:t>
      </w:r>
    </w:p>
    <w:p w14:paraId="1B0A4AA9" w14:textId="77777777" w:rsidR="00572BCD" w:rsidRPr="002601D6" w:rsidRDefault="00572BCD" w:rsidP="00572BCD">
      <w:pPr>
        <w:numPr>
          <w:ilvl w:val="0"/>
          <w:numId w:val="2"/>
        </w:numPr>
        <w:spacing w:after="0" w:line="240" w:lineRule="auto"/>
        <w:jc w:val="both"/>
        <w:rPr>
          <w:rFonts w:cs="Calibri"/>
          <w:color w:val="212121"/>
          <w:lang w:val="en-AU"/>
        </w:rPr>
      </w:pPr>
      <w:r>
        <w:rPr>
          <w:rFonts w:cs="Calibri"/>
          <w:color w:val="212121"/>
          <w:lang w:val="en-AU"/>
        </w:rPr>
        <w:t>Supports multi-currency deposit accounts with appropriate product configuration</w:t>
      </w:r>
    </w:p>
    <w:p w14:paraId="74DEF382"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Mandate matrix at current account level allows user to define the holder rights against each account relation type and define the number of signatories against specific customer transactions across customer, loan and current account level</w:t>
      </w:r>
    </w:p>
    <w:p w14:paraId="2830B252"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The mandate matrix captured is primarily for information and actual restrictions are implemented only in self-service channels consuming this information.</w:t>
      </w:r>
    </w:p>
    <w:p w14:paraId="6F35C36F" w14:textId="77777777" w:rsidR="00572BCD" w:rsidRDefault="00572BCD" w:rsidP="00572BCD">
      <w:pPr>
        <w:spacing w:after="0" w:line="240" w:lineRule="auto"/>
        <w:jc w:val="both"/>
        <w:rPr>
          <w:rFonts w:cs="Calibri"/>
          <w:color w:val="212121"/>
          <w:lang w:val="en-AU"/>
        </w:rPr>
      </w:pPr>
      <w:r>
        <w:rPr>
          <w:rFonts w:cs="Calibri"/>
          <w:noProof/>
          <w:color w:val="212121"/>
          <w:lang w:val="en-AU"/>
        </w:rPr>
        <w:lastRenderedPageBreak/>
        <w:drawing>
          <wp:inline distT="0" distB="0" distL="0" distR="0" wp14:anchorId="7996B92D" wp14:editId="6BC289C5">
            <wp:extent cx="6238875" cy="2837180"/>
            <wp:effectExtent l="0" t="0" r="9525" b="127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2837180"/>
                    </a:xfrm>
                    <a:prstGeom prst="rect">
                      <a:avLst/>
                    </a:prstGeom>
                    <a:noFill/>
                    <a:ln>
                      <a:noFill/>
                    </a:ln>
                  </pic:spPr>
                </pic:pic>
              </a:graphicData>
            </a:graphic>
          </wp:inline>
        </w:drawing>
      </w:r>
    </w:p>
    <w:p w14:paraId="7C977CBF" w14:textId="77777777" w:rsidR="00572BCD" w:rsidRPr="00DE5A70" w:rsidRDefault="00572BCD" w:rsidP="00572BCD">
      <w:pPr>
        <w:pStyle w:val="Caption"/>
      </w:pPr>
      <w:bookmarkStart w:id="20" w:name="_Toc58384442"/>
      <w:r w:rsidRPr="005514DD">
        <w:t xml:space="preserve">Figure </w:t>
      </w:r>
      <w:r>
        <w:fldChar w:fldCharType="begin"/>
      </w:r>
      <w:r>
        <w:instrText xml:space="preserve"> SEQ Figure \* ARABIC </w:instrText>
      </w:r>
      <w:r>
        <w:fldChar w:fldCharType="separate"/>
      </w:r>
      <w:r>
        <w:rPr>
          <w:noProof/>
        </w:rPr>
        <w:t>3</w:t>
      </w:r>
      <w:r>
        <w:rPr>
          <w:noProof/>
        </w:rPr>
        <w:fldChar w:fldCharType="end"/>
      </w:r>
      <w:r w:rsidRPr="005514DD">
        <w:t xml:space="preserve">: </w:t>
      </w:r>
      <w:r>
        <w:t>Mandate Matrix</w:t>
      </w:r>
      <w:bookmarkEnd w:id="20"/>
    </w:p>
    <w:p w14:paraId="5A999C4D" w14:textId="77777777" w:rsidR="00572BCD" w:rsidRPr="006612FC" w:rsidRDefault="00572BCD" w:rsidP="00572BCD">
      <w:pPr>
        <w:pStyle w:val="Heading3"/>
        <w:rPr>
          <w:lang w:val="en-AU" w:eastAsia="ar-SA"/>
        </w:rPr>
      </w:pPr>
      <w:bookmarkStart w:id="21" w:name="_Toc58384412"/>
      <w:r w:rsidRPr="006612FC">
        <w:rPr>
          <w:lang w:val="en-AU" w:eastAsia="ar-SA"/>
        </w:rPr>
        <w:t>Gap:</w:t>
      </w:r>
      <w:bookmarkEnd w:id="21"/>
    </w:p>
    <w:p w14:paraId="520E2BFC" w14:textId="77777777" w:rsidR="00572BCD" w:rsidRDefault="00572BCD" w:rsidP="00572BCD">
      <w:pPr>
        <w:numPr>
          <w:ilvl w:val="0"/>
          <w:numId w:val="2"/>
        </w:numPr>
        <w:spacing w:after="0" w:line="240" w:lineRule="auto"/>
        <w:jc w:val="both"/>
        <w:rPr>
          <w:rFonts w:cs="Calibri"/>
          <w:color w:val="212121"/>
          <w:lang w:val="en-AU"/>
        </w:rPr>
      </w:pPr>
      <w:bookmarkStart w:id="22" w:name="_Toc492914148"/>
      <w:bookmarkStart w:id="23" w:name="_Toc3907508"/>
      <w:r>
        <w:rPr>
          <w:rFonts w:cs="Calibri"/>
          <w:color w:val="212121"/>
          <w:lang w:val="en-AU"/>
        </w:rPr>
        <w:t>No gap</w:t>
      </w:r>
      <w:r w:rsidRPr="00E35F96">
        <w:rPr>
          <w:rFonts w:cs="Calibri"/>
          <w:color w:val="212121"/>
          <w:lang w:val="en-AU"/>
        </w:rPr>
        <w:t xml:space="preserve"> </w:t>
      </w:r>
    </w:p>
    <w:p w14:paraId="04BA3F9D" w14:textId="77777777" w:rsidR="00572BCD" w:rsidRPr="00E35F96" w:rsidRDefault="00572BCD" w:rsidP="00572BCD">
      <w:pPr>
        <w:pStyle w:val="Heading2"/>
        <w:rPr>
          <w:lang w:val="en-AU" w:eastAsia="ar-SA"/>
        </w:rPr>
      </w:pPr>
      <w:bookmarkStart w:id="24" w:name="_Toc58384413"/>
      <w:r>
        <w:rPr>
          <w:lang w:val="en-AU" w:eastAsia="ar-SA"/>
        </w:rPr>
        <w:t>Chequebooks</w:t>
      </w:r>
      <w:bookmarkEnd w:id="24"/>
    </w:p>
    <w:p w14:paraId="78270E13" w14:textId="77777777" w:rsidR="00572BCD" w:rsidRPr="006612FC" w:rsidRDefault="00572BCD" w:rsidP="00572BCD">
      <w:pPr>
        <w:pStyle w:val="Heading3"/>
        <w:rPr>
          <w:lang w:val="en-AU" w:eastAsia="ar-SA"/>
        </w:rPr>
      </w:pPr>
      <w:bookmarkStart w:id="25" w:name="_Toc58384414"/>
      <w:r w:rsidRPr="006612FC">
        <w:rPr>
          <w:lang w:val="en-AU" w:eastAsia="ar-SA"/>
        </w:rPr>
        <w:t>Requirement</w:t>
      </w:r>
      <w:bookmarkEnd w:id="25"/>
    </w:p>
    <w:p w14:paraId="0D53D6E8" w14:textId="5DFC1D5E"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Current function of </w:t>
      </w:r>
      <w:r>
        <w:rPr>
          <w:rFonts w:cs="Calibri"/>
          <w:color w:val="212121"/>
          <w:lang w:val="en-AU"/>
        </w:rPr>
        <w:t>CLIENT</w:t>
      </w:r>
      <w:r>
        <w:rPr>
          <w:rFonts w:cs="Calibri"/>
          <w:color w:val="212121"/>
          <w:lang w:val="en-AU"/>
        </w:rPr>
        <w:t xml:space="preserve"> is to issue cheque books based on customer request</w:t>
      </w:r>
    </w:p>
    <w:p w14:paraId="64683A40" w14:textId="077D1DC9"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The cheque book workflow </w:t>
      </w:r>
      <w:proofErr w:type="gramStart"/>
      <w:r>
        <w:rPr>
          <w:rFonts w:cs="Calibri"/>
          <w:color w:val="212121"/>
          <w:lang w:val="en-AU"/>
        </w:rPr>
        <w:t>undergo</w:t>
      </w:r>
      <w:proofErr w:type="gramEnd"/>
      <w:r>
        <w:rPr>
          <w:rFonts w:cs="Calibri"/>
          <w:color w:val="212121"/>
          <w:lang w:val="en-AU"/>
        </w:rPr>
        <w:t xml:space="preserve"> multiple statuses as </w:t>
      </w:r>
      <w:r>
        <w:rPr>
          <w:rFonts w:cs="Calibri"/>
          <w:color w:val="212121"/>
          <w:lang w:val="en-AU"/>
        </w:rPr>
        <w:t>CLIENT</w:t>
      </w:r>
      <w:r>
        <w:rPr>
          <w:rFonts w:cs="Calibri"/>
          <w:color w:val="212121"/>
          <w:lang w:val="en-AU"/>
        </w:rPr>
        <w:t xml:space="preserve"> receives the cheque book from printing press and then manually courier it to customer address</w:t>
      </w:r>
    </w:p>
    <w:p w14:paraId="0D8F9D64" w14:textId="54DB7C4E"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Pr>
          <w:rFonts w:cs="Calibri"/>
          <w:color w:val="212121"/>
          <w:lang w:val="en-AU"/>
        </w:rPr>
        <w:t xml:space="preserve"> wishes to change the process by allowing the printing house to directly courier the cheque book to customer address without any overhead to </w:t>
      </w:r>
      <w:r>
        <w:rPr>
          <w:rFonts w:cs="Calibri"/>
          <w:color w:val="212121"/>
          <w:lang w:val="en-AU"/>
        </w:rPr>
        <w:t>CLIENT</w:t>
      </w:r>
      <w:r>
        <w:rPr>
          <w:rFonts w:cs="Calibri"/>
          <w:color w:val="212121"/>
          <w:lang w:val="en-AU"/>
        </w:rPr>
        <w:t xml:space="preserve"> staff</w:t>
      </w:r>
    </w:p>
    <w:p w14:paraId="5995CDA2" w14:textId="77777777" w:rsidR="00572BCD" w:rsidRPr="006612FC" w:rsidRDefault="00572BCD" w:rsidP="00572BCD">
      <w:pPr>
        <w:pStyle w:val="Heading3"/>
        <w:rPr>
          <w:lang w:val="en-AU" w:eastAsia="ar-SA"/>
        </w:rPr>
      </w:pPr>
      <w:bookmarkStart w:id="26" w:name="_Toc58384415"/>
      <w:r w:rsidRPr="006612FC">
        <w:rPr>
          <w:lang w:val="en-AU" w:eastAsia="ar-SA"/>
        </w:rPr>
        <w:t>Solution Mapping:</w:t>
      </w:r>
      <w:bookmarkEnd w:id="26"/>
      <w:r w:rsidRPr="006612FC">
        <w:rPr>
          <w:lang w:val="en-AU" w:eastAsia="ar-SA"/>
        </w:rPr>
        <w:t xml:space="preserve"> </w:t>
      </w:r>
    </w:p>
    <w:p w14:paraId="62FEA48E"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System supports issuance of cheque book and ensures account number as well as cheque number combination will be unique for an account</w:t>
      </w:r>
    </w:p>
    <w:p w14:paraId="5DFBBA38"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System also maintains multiple statuses for lifecycle of cheque issuance.</w:t>
      </w:r>
    </w:p>
    <w:p w14:paraId="1D23DFFF"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However, currently these statuses are suppressed and mark the cheque book as delivered immediately after request</w:t>
      </w:r>
    </w:p>
    <w:p w14:paraId="0454F176"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In all recent implementations, printing houses are directly sending the courier of cheque books to customer address and hence the suppression of statuses</w:t>
      </w:r>
    </w:p>
    <w:p w14:paraId="49BFFBB5"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System also supports stop cheque of a cheque number or a series of cheque numbers based on customer request</w:t>
      </w:r>
    </w:p>
    <w:p w14:paraId="65281F4D" w14:textId="77777777" w:rsidR="00572BCD" w:rsidRDefault="00572BCD" w:rsidP="00572BCD">
      <w:pPr>
        <w:keepNext/>
        <w:keepLines/>
        <w:numPr>
          <w:ilvl w:val="0"/>
          <w:numId w:val="2"/>
        </w:numPr>
        <w:spacing w:after="0" w:line="240" w:lineRule="auto"/>
        <w:jc w:val="both"/>
        <w:rPr>
          <w:rFonts w:cs="Calibri"/>
          <w:color w:val="212121"/>
          <w:lang w:val="en-AU"/>
        </w:rPr>
      </w:pPr>
      <w:r>
        <w:rPr>
          <w:rFonts w:cs="Calibri"/>
          <w:color w:val="212121"/>
          <w:lang w:val="en-AU"/>
        </w:rPr>
        <w:lastRenderedPageBreak/>
        <w:t>Screengrab of request cheque book screen is given below:</w:t>
      </w:r>
    </w:p>
    <w:p w14:paraId="4F45B0ED" w14:textId="77777777" w:rsidR="00572BCD" w:rsidRDefault="00572BCD" w:rsidP="00572BCD">
      <w:pPr>
        <w:spacing w:after="0" w:line="240" w:lineRule="auto"/>
        <w:jc w:val="both"/>
        <w:rPr>
          <w:rFonts w:cs="Calibri"/>
          <w:color w:val="212121"/>
          <w:lang w:val="en-AU"/>
        </w:rPr>
      </w:pPr>
      <w:r>
        <w:rPr>
          <w:noProof/>
        </w:rPr>
        <w:drawing>
          <wp:inline distT="0" distB="0" distL="0" distR="0" wp14:anchorId="23856486" wp14:editId="212C320B">
            <wp:extent cx="5732145" cy="2415540"/>
            <wp:effectExtent l="0" t="0" r="1905" b="3810"/>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pic:nvPicPr>
                  <pic:blipFill>
                    <a:blip r:embed="rId8"/>
                    <a:stretch>
                      <a:fillRect/>
                    </a:stretch>
                  </pic:blipFill>
                  <pic:spPr>
                    <a:xfrm>
                      <a:off x="0" y="0"/>
                      <a:ext cx="5732145" cy="2415540"/>
                    </a:xfrm>
                    <a:prstGeom prst="rect">
                      <a:avLst/>
                    </a:prstGeom>
                  </pic:spPr>
                </pic:pic>
              </a:graphicData>
            </a:graphic>
          </wp:inline>
        </w:drawing>
      </w:r>
    </w:p>
    <w:p w14:paraId="3FA159C7" w14:textId="77777777" w:rsidR="00572BCD" w:rsidRPr="0032770A" w:rsidRDefault="00572BCD" w:rsidP="00572BCD">
      <w:pPr>
        <w:pStyle w:val="Caption"/>
      </w:pPr>
      <w:bookmarkStart w:id="27" w:name="_Toc58384443"/>
      <w:r w:rsidRPr="005514DD">
        <w:t xml:space="preserve">Figure </w:t>
      </w:r>
      <w:r>
        <w:fldChar w:fldCharType="begin"/>
      </w:r>
      <w:r>
        <w:instrText xml:space="preserve"> SEQ Figure \* ARABIC </w:instrText>
      </w:r>
      <w:r>
        <w:fldChar w:fldCharType="separate"/>
      </w:r>
      <w:r>
        <w:rPr>
          <w:noProof/>
        </w:rPr>
        <w:t>4</w:t>
      </w:r>
      <w:r>
        <w:rPr>
          <w:noProof/>
        </w:rPr>
        <w:fldChar w:fldCharType="end"/>
      </w:r>
      <w:r w:rsidRPr="005514DD">
        <w:t xml:space="preserve">: </w:t>
      </w:r>
      <w:r>
        <w:t>Cheque book request</w:t>
      </w:r>
      <w:bookmarkEnd w:id="27"/>
    </w:p>
    <w:p w14:paraId="2BFDED6D" w14:textId="77777777" w:rsidR="00572BCD" w:rsidRPr="006612FC" w:rsidRDefault="00572BCD" w:rsidP="00572BCD">
      <w:pPr>
        <w:pStyle w:val="Heading3"/>
        <w:rPr>
          <w:lang w:val="en-AU" w:eastAsia="ar-SA"/>
        </w:rPr>
      </w:pPr>
      <w:bookmarkStart w:id="28" w:name="_Toc58384416"/>
      <w:r w:rsidRPr="006612FC">
        <w:rPr>
          <w:lang w:val="en-AU" w:eastAsia="ar-SA"/>
        </w:rPr>
        <w:t>Gap:</w:t>
      </w:r>
      <w:bookmarkEnd w:id="28"/>
    </w:p>
    <w:p w14:paraId="478A4909" w14:textId="77777777" w:rsidR="00572BCD" w:rsidRPr="006612FC" w:rsidRDefault="00572BCD" w:rsidP="00572BCD">
      <w:pPr>
        <w:pStyle w:val="TCSNormal"/>
        <w:numPr>
          <w:ilvl w:val="0"/>
          <w:numId w:val="1"/>
        </w:numPr>
        <w:rPr>
          <w:rFonts w:ascii="Calibri" w:hAnsi="Calibri" w:cs="Calibri"/>
          <w:sz w:val="22"/>
        </w:rPr>
      </w:pPr>
      <w:r>
        <w:rPr>
          <w:rFonts w:cs="Calibri"/>
        </w:rPr>
        <w:t>No gap</w:t>
      </w:r>
    </w:p>
    <w:p w14:paraId="1F20C154" w14:textId="77777777" w:rsidR="00572BCD" w:rsidRPr="00E35F96" w:rsidRDefault="00572BCD" w:rsidP="00572BCD">
      <w:pPr>
        <w:pStyle w:val="Heading2"/>
        <w:rPr>
          <w:lang w:val="en-AU" w:eastAsia="ar-SA"/>
        </w:rPr>
      </w:pPr>
      <w:bookmarkStart w:id="29" w:name="_Toc58384417"/>
      <w:r>
        <w:rPr>
          <w:lang w:val="en-AU" w:eastAsia="ar-SA"/>
        </w:rPr>
        <w:t>Overdraft Limit</w:t>
      </w:r>
      <w:bookmarkEnd w:id="29"/>
    </w:p>
    <w:p w14:paraId="46A56BF0" w14:textId="77777777" w:rsidR="00572BCD" w:rsidRPr="006612FC" w:rsidRDefault="00572BCD" w:rsidP="00572BCD">
      <w:pPr>
        <w:pStyle w:val="Heading3"/>
        <w:rPr>
          <w:lang w:val="en-AU" w:eastAsia="ar-SA"/>
        </w:rPr>
      </w:pPr>
      <w:bookmarkStart w:id="30" w:name="_Toc58384418"/>
      <w:r w:rsidRPr="006612FC">
        <w:rPr>
          <w:lang w:val="en-AU" w:eastAsia="ar-SA"/>
        </w:rPr>
        <w:t>Requirement</w:t>
      </w:r>
      <w:bookmarkEnd w:id="30"/>
    </w:p>
    <w:p w14:paraId="532AA769"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Overdraft limits need to be set up on current account</w:t>
      </w:r>
    </w:p>
    <w:p w14:paraId="26653D17" w14:textId="4939ECE9"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Conventional overdraft limits are set up on current account in </w:t>
      </w:r>
      <w:r>
        <w:rPr>
          <w:rFonts w:cs="Calibri"/>
          <w:color w:val="212121"/>
          <w:lang w:val="en-AU"/>
        </w:rPr>
        <w:t>CLIENT</w:t>
      </w:r>
    </w:p>
    <w:p w14:paraId="14E55BF2"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Overdraft limits </w:t>
      </w:r>
      <w:proofErr w:type="gramStart"/>
      <w:r>
        <w:rPr>
          <w:rFonts w:cs="Calibri"/>
          <w:color w:val="212121"/>
          <w:lang w:val="en-AU"/>
        </w:rPr>
        <w:t>needs</w:t>
      </w:r>
      <w:proofErr w:type="gramEnd"/>
      <w:r>
        <w:rPr>
          <w:rFonts w:cs="Calibri"/>
          <w:color w:val="212121"/>
          <w:lang w:val="en-AU"/>
        </w:rPr>
        <w:t xml:space="preserve"> to be charged for the debit interest when the account is in debit balance</w:t>
      </w:r>
    </w:p>
    <w:p w14:paraId="3E051C6B" w14:textId="6B169D63"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No penal interest for overlimit amounts is charged in </w:t>
      </w:r>
      <w:r>
        <w:rPr>
          <w:rFonts w:cs="Calibri"/>
          <w:color w:val="212121"/>
          <w:lang w:val="en-AU"/>
        </w:rPr>
        <w:t>CLIENT</w:t>
      </w:r>
    </w:p>
    <w:p w14:paraId="652015FA"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Temporary overdrafts on current account without overdraft limit but in debit balance also need to be supported</w:t>
      </w:r>
    </w:p>
    <w:p w14:paraId="1AF8013F" w14:textId="77777777" w:rsidR="00572BCD" w:rsidRDefault="00572BCD" w:rsidP="00572BCD">
      <w:pPr>
        <w:spacing w:after="0" w:line="240" w:lineRule="auto"/>
        <w:jc w:val="both"/>
        <w:rPr>
          <w:rFonts w:cs="Calibri"/>
          <w:color w:val="212121"/>
          <w:lang w:val="en-AU"/>
        </w:rPr>
      </w:pPr>
    </w:p>
    <w:p w14:paraId="3754972B" w14:textId="77777777" w:rsidR="00572BCD" w:rsidRPr="006612FC" w:rsidRDefault="00572BCD" w:rsidP="00572BCD">
      <w:pPr>
        <w:pStyle w:val="Heading3"/>
        <w:rPr>
          <w:lang w:val="en-AU" w:eastAsia="ar-SA"/>
        </w:rPr>
      </w:pPr>
      <w:bookmarkStart w:id="31" w:name="_Toc58384419"/>
      <w:r w:rsidRPr="006612FC">
        <w:rPr>
          <w:lang w:val="en-AU" w:eastAsia="ar-SA"/>
        </w:rPr>
        <w:t>Solution Mapping:</w:t>
      </w:r>
      <w:bookmarkEnd w:id="31"/>
      <w:r w:rsidRPr="006612FC">
        <w:rPr>
          <w:lang w:val="en-AU" w:eastAsia="ar-SA"/>
        </w:rPr>
        <w:t xml:space="preserve"> </w:t>
      </w:r>
    </w:p>
    <w:p w14:paraId="433818D3"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Overdraft limits can be set up on current account</w:t>
      </w:r>
    </w:p>
    <w:p w14:paraId="5A1D2613"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Overdraft limit template </w:t>
      </w:r>
      <w:proofErr w:type="gramStart"/>
      <w:r>
        <w:rPr>
          <w:rFonts w:cs="Calibri"/>
          <w:color w:val="212121"/>
          <w:lang w:val="en-AU"/>
        </w:rPr>
        <w:t>need</w:t>
      </w:r>
      <w:proofErr w:type="gramEnd"/>
      <w:r>
        <w:rPr>
          <w:rFonts w:cs="Calibri"/>
          <w:color w:val="212121"/>
          <w:lang w:val="en-AU"/>
        </w:rPr>
        <w:t xml:space="preserve"> to be enabled and debit rates to be set up at product level for overdraft limit set up at account</w:t>
      </w:r>
    </w:p>
    <w:p w14:paraId="2B4A956C"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One of many lines of overdraft limits can be set up on overdraft</w:t>
      </w:r>
    </w:p>
    <w:p w14:paraId="67532700"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Interest is charged on the outstanding debit balance of current account within limit</w:t>
      </w:r>
    </w:p>
    <w:p w14:paraId="7C0C11E0"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Normal debit interest and penal interest can be charged on overdraft</w:t>
      </w:r>
    </w:p>
    <w:p w14:paraId="7616A746"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The Overdraft limits can be linked to a limit hierarchy by setting up the parent limit node</w:t>
      </w:r>
    </w:p>
    <w:p w14:paraId="5E1C0DA8"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Min/max limit amount and Overdraft limit amount can be set up at account level</w:t>
      </w:r>
    </w:p>
    <w:p w14:paraId="7544CF27" w14:textId="77777777" w:rsidR="00572BCD" w:rsidRDefault="00572BCD" w:rsidP="00572BCD">
      <w:pPr>
        <w:keepNext/>
        <w:keepLines/>
        <w:numPr>
          <w:ilvl w:val="0"/>
          <w:numId w:val="2"/>
        </w:numPr>
        <w:spacing w:after="0" w:line="240" w:lineRule="auto"/>
        <w:jc w:val="both"/>
        <w:rPr>
          <w:rFonts w:cs="Calibri"/>
          <w:color w:val="212121"/>
          <w:lang w:val="en-AU"/>
        </w:rPr>
      </w:pPr>
      <w:r>
        <w:rPr>
          <w:rFonts w:cs="Calibri"/>
          <w:color w:val="212121"/>
          <w:lang w:val="en-AU"/>
        </w:rPr>
        <w:lastRenderedPageBreak/>
        <w:t>Screenshot of create overdraft limit is given below:</w:t>
      </w:r>
    </w:p>
    <w:p w14:paraId="6BCC054C" w14:textId="77777777" w:rsidR="00572BCD" w:rsidRDefault="00572BCD" w:rsidP="00572BCD">
      <w:pPr>
        <w:spacing w:after="0" w:line="240" w:lineRule="auto"/>
        <w:jc w:val="both"/>
        <w:rPr>
          <w:rFonts w:cs="Calibri"/>
          <w:color w:val="212121"/>
          <w:lang w:val="en-AU"/>
        </w:rPr>
      </w:pPr>
      <w:r>
        <w:rPr>
          <w:noProof/>
        </w:rPr>
        <w:drawing>
          <wp:inline distT="0" distB="0" distL="0" distR="0" wp14:anchorId="4E8898B6" wp14:editId="3788A3FE">
            <wp:extent cx="5732145" cy="2582545"/>
            <wp:effectExtent l="19050" t="19050" r="20955" b="27305"/>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9"/>
                    <a:stretch>
                      <a:fillRect/>
                    </a:stretch>
                  </pic:blipFill>
                  <pic:spPr>
                    <a:xfrm>
                      <a:off x="0" y="0"/>
                      <a:ext cx="5732145" cy="2582545"/>
                    </a:xfrm>
                    <a:prstGeom prst="rect">
                      <a:avLst/>
                    </a:prstGeom>
                    <a:ln>
                      <a:solidFill>
                        <a:schemeClr val="accent1"/>
                      </a:solidFill>
                    </a:ln>
                  </pic:spPr>
                </pic:pic>
              </a:graphicData>
            </a:graphic>
          </wp:inline>
        </w:drawing>
      </w:r>
    </w:p>
    <w:p w14:paraId="0CF437D0" w14:textId="77777777" w:rsidR="00572BCD" w:rsidRPr="0032770A" w:rsidRDefault="00572BCD" w:rsidP="00572BCD">
      <w:pPr>
        <w:pStyle w:val="Caption"/>
      </w:pPr>
      <w:bookmarkStart w:id="32" w:name="_Toc58384444"/>
      <w:r w:rsidRPr="005514DD">
        <w:t xml:space="preserve">Figure </w:t>
      </w:r>
      <w:r>
        <w:fldChar w:fldCharType="begin"/>
      </w:r>
      <w:r>
        <w:instrText xml:space="preserve"> SEQ Figure \* ARABIC </w:instrText>
      </w:r>
      <w:r>
        <w:fldChar w:fldCharType="separate"/>
      </w:r>
      <w:r>
        <w:rPr>
          <w:noProof/>
        </w:rPr>
        <w:t>5</w:t>
      </w:r>
      <w:r>
        <w:rPr>
          <w:noProof/>
        </w:rPr>
        <w:fldChar w:fldCharType="end"/>
      </w:r>
      <w:r w:rsidRPr="005514DD">
        <w:t xml:space="preserve">: </w:t>
      </w:r>
      <w:r>
        <w:t>Add Overdraft Limit</w:t>
      </w:r>
      <w:bookmarkEnd w:id="32"/>
    </w:p>
    <w:p w14:paraId="100DDC24" w14:textId="77777777" w:rsidR="00572BCD" w:rsidRPr="006612FC" w:rsidRDefault="00572BCD" w:rsidP="00572BCD">
      <w:pPr>
        <w:pStyle w:val="Heading3"/>
        <w:rPr>
          <w:lang w:val="en-AU" w:eastAsia="ar-SA"/>
        </w:rPr>
      </w:pPr>
      <w:bookmarkStart w:id="33" w:name="_Toc58384420"/>
      <w:r w:rsidRPr="006612FC">
        <w:rPr>
          <w:lang w:val="en-AU" w:eastAsia="ar-SA"/>
        </w:rPr>
        <w:t>Gap:</w:t>
      </w:r>
      <w:bookmarkEnd w:id="33"/>
    </w:p>
    <w:p w14:paraId="7EC2FFAE" w14:textId="77777777" w:rsidR="00572BCD" w:rsidRPr="006612FC" w:rsidRDefault="00572BCD" w:rsidP="00572BCD">
      <w:pPr>
        <w:pStyle w:val="TCSNormal"/>
        <w:numPr>
          <w:ilvl w:val="0"/>
          <w:numId w:val="1"/>
        </w:numPr>
        <w:rPr>
          <w:rFonts w:ascii="Calibri" w:hAnsi="Calibri" w:cs="Calibri"/>
          <w:sz w:val="22"/>
        </w:rPr>
      </w:pPr>
      <w:r>
        <w:rPr>
          <w:rFonts w:cs="Calibri"/>
        </w:rPr>
        <w:t>No gap</w:t>
      </w:r>
    </w:p>
    <w:p w14:paraId="19D7B5AB" w14:textId="77777777" w:rsidR="00572BCD" w:rsidRPr="00E35F96" w:rsidRDefault="00572BCD" w:rsidP="00572BCD">
      <w:pPr>
        <w:pStyle w:val="Heading2"/>
        <w:rPr>
          <w:lang w:val="en-AU" w:eastAsia="ar-SA"/>
        </w:rPr>
      </w:pPr>
      <w:bookmarkStart w:id="34" w:name="_Toc58384421"/>
      <w:r>
        <w:rPr>
          <w:lang w:val="en-AU" w:eastAsia="ar-SA"/>
        </w:rPr>
        <w:t>Term Account Product Configuration</w:t>
      </w:r>
      <w:bookmarkEnd w:id="34"/>
    </w:p>
    <w:p w14:paraId="0361138D" w14:textId="77777777" w:rsidR="00572BCD" w:rsidRPr="006612FC" w:rsidRDefault="00572BCD" w:rsidP="00572BCD">
      <w:pPr>
        <w:pStyle w:val="Heading3"/>
        <w:rPr>
          <w:lang w:val="en-AU" w:eastAsia="ar-SA"/>
        </w:rPr>
      </w:pPr>
      <w:bookmarkStart w:id="35" w:name="_Toc58384422"/>
      <w:r w:rsidRPr="006612FC">
        <w:rPr>
          <w:lang w:val="en-AU" w:eastAsia="ar-SA"/>
        </w:rPr>
        <w:t>Requirement</w:t>
      </w:r>
      <w:bookmarkEnd w:id="35"/>
    </w:p>
    <w:p w14:paraId="3E37C511" w14:textId="7F05ED4B"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Pr>
          <w:rFonts w:cs="Calibri"/>
          <w:color w:val="212121"/>
          <w:lang w:val="en-AU"/>
        </w:rPr>
        <w:t xml:space="preserve"> has a portfolio of term deposit products</w:t>
      </w:r>
    </w:p>
    <w:p w14:paraId="7C8FE388" w14:textId="77777777" w:rsidR="00572BCD" w:rsidRPr="00C47E36" w:rsidRDefault="00572BCD" w:rsidP="00572BCD">
      <w:pPr>
        <w:numPr>
          <w:ilvl w:val="0"/>
          <w:numId w:val="2"/>
        </w:numPr>
        <w:spacing w:after="0" w:line="240" w:lineRule="auto"/>
        <w:jc w:val="both"/>
        <w:rPr>
          <w:rFonts w:cs="Calibri"/>
          <w:color w:val="212121"/>
          <w:lang w:val="en-AU"/>
        </w:rPr>
      </w:pPr>
      <w:r>
        <w:rPr>
          <w:rFonts w:cs="Calibri"/>
          <w:color w:val="212121"/>
          <w:lang w:val="en-AU"/>
        </w:rPr>
        <w:t>Term deposit products need to be configured in the core banking system</w:t>
      </w:r>
    </w:p>
    <w:p w14:paraId="3718C7C0" w14:textId="77777777" w:rsidR="00572BCD" w:rsidRPr="006612FC" w:rsidRDefault="00572BCD" w:rsidP="00572BCD">
      <w:pPr>
        <w:pStyle w:val="Heading3"/>
        <w:rPr>
          <w:lang w:val="en-AU" w:eastAsia="ar-SA"/>
        </w:rPr>
      </w:pPr>
      <w:bookmarkStart w:id="36" w:name="_Toc58384423"/>
      <w:r w:rsidRPr="006612FC">
        <w:rPr>
          <w:lang w:val="en-AU" w:eastAsia="ar-SA"/>
        </w:rPr>
        <w:t>Solution Mapping:</w:t>
      </w:r>
      <w:bookmarkEnd w:id="36"/>
      <w:r w:rsidRPr="006612FC">
        <w:rPr>
          <w:lang w:val="en-AU" w:eastAsia="ar-SA"/>
        </w:rPr>
        <w:t xml:space="preserve"> </w:t>
      </w:r>
    </w:p>
    <w:p w14:paraId="4CB3E797"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Term accounts are configured as distinct product set</w:t>
      </w:r>
    </w:p>
    <w:p w14:paraId="2CC879B4"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Salient features of term deposit products are given below</w:t>
      </w:r>
    </w:p>
    <w:p w14:paraId="21F1ACCF"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Interest type – Simple, Compound</w:t>
      </w:r>
    </w:p>
    <w:p w14:paraId="4F7F4070"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Interest practice – 30/360, Actual/Actual, Actual/365 etc</w:t>
      </w:r>
    </w:p>
    <w:p w14:paraId="5FD7EE37"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Interest settlement frequency – Maturity, Monthly, Quarterly, Monthly Anniversary etc.</w:t>
      </w:r>
    </w:p>
    <w:p w14:paraId="79DA9289"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Auto renewal flags</w:t>
      </w:r>
    </w:p>
    <w:p w14:paraId="51349AD0"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Business Day count convention for maturity date processing – Following business day, Modified next business day etc.</w:t>
      </w:r>
    </w:p>
    <w:p w14:paraId="6A23FFF1"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 xml:space="preserve">Back-value dating </w:t>
      </w:r>
    </w:p>
    <w:p w14:paraId="021EAD5A"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Age based interest</w:t>
      </w:r>
    </w:p>
    <w:p w14:paraId="6DECFF47" w14:textId="77777777" w:rsidR="00572BCD" w:rsidRDefault="00572BCD" w:rsidP="00572BCD">
      <w:pPr>
        <w:keepNext/>
        <w:keepLines/>
        <w:numPr>
          <w:ilvl w:val="0"/>
          <w:numId w:val="2"/>
        </w:numPr>
        <w:spacing w:after="0" w:line="240" w:lineRule="auto"/>
        <w:jc w:val="both"/>
        <w:rPr>
          <w:rFonts w:cs="Calibri"/>
          <w:color w:val="212121"/>
          <w:lang w:val="en-AU"/>
        </w:rPr>
      </w:pPr>
      <w:r>
        <w:rPr>
          <w:rFonts w:cs="Calibri"/>
          <w:color w:val="212121"/>
          <w:lang w:val="en-AU"/>
        </w:rPr>
        <w:lastRenderedPageBreak/>
        <w:t>Screenshot for term deposit configuration is given below:</w:t>
      </w:r>
    </w:p>
    <w:p w14:paraId="380A3FBB" w14:textId="77777777" w:rsidR="00572BCD" w:rsidRDefault="00572BCD" w:rsidP="00572BCD">
      <w:pPr>
        <w:spacing w:after="0" w:line="240" w:lineRule="auto"/>
        <w:jc w:val="both"/>
        <w:rPr>
          <w:rFonts w:cs="Calibri"/>
          <w:color w:val="212121"/>
          <w:lang w:val="en-AU"/>
        </w:rPr>
      </w:pPr>
      <w:r>
        <w:rPr>
          <w:noProof/>
        </w:rPr>
        <w:drawing>
          <wp:inline distT="0" distB="0" distL="0" distR="0" wp14:anchorId="57577DDB" wp14:editId="10081281">
            <wp:extent cx="5732145" cy="2723515"/>
            <wp:effectExtent l="19050" t="19050" r="20955" b="19685"/>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10"/>
                    <a:stretch>
                      <a:fillRect/>
                    </a:stretch>
                  </pic:blipFill>
                  <pic:spPr>
                    <a:xfrm>
                      <a:off x="0" y="0"/>
                      <a:ext cx="5732145" cy="2723515"/>
                    </a:xfrm>
                    <a:prstGeom prst="rect">
                      <a:avLst/>
                    </a:prstGeom>
                    <a:ln>
                      <a:solidFill>
                        <a:schemeClr val="accent1"/>
                      </a:solidFill>
                    </a:ln>
                  </pic:spPr>
                </pic:pic>
              </a:graphicData>
            </a:graphic>
          </wp:inline>
        </w:drawing>
      </w:r>
    </w:p>
    <w:p w14:paraId="7C3BB9ED" w14:textId="77777777" w:rsidR="00572BCD" w:rsidRPr="00DA584D" w:rsidRDefault="00572BCD" w:rsidP="00572BCD">
      <w:pPr>
        <w:pStyle w:val="Caption"/>
      </w:pPr>
      <w:bookmarkStart w:id="37" w:name="_Toc58384445"/>
      <w:r w:rsidRPr="005514DD">
        <w:t xml:space="preserve">Figure </w:t>
      </w:r>
      <w:r>
        <w:fldChar w:fldCharType="begin"/>
      </w:r>
      <w:r>
        <w:instrText xml:space="preserve"> SEQ Figure \* ARABIC </w:instrText>
      </w:r>
      <w:r>
        <w:fldChar w:fldCharType="separate"/>
      </w:r>
      <w:r>
        <w:t>6</w:t>
      </w:r>
      <w:r>
        <w:fldChar w:fldCharType="end"/>
      </w:r>
      <w:r w:rsidRPr="005514DD">
        <w:t xml:space="preserve">: </w:t>
      </w:r>
      <w:r>
        <w:t>Term Deposit Configuration</w:t>
      </w:r>
      <w:bookmarkEnd w:id="37"/>
    </w:p>
    <w:p w14:paraId="1A58C6DD" w14:textId="77777777" w:rsidR="00572BCD" w:rsidRPr="006612FC" w:rsidRDefault="00572BCD" w:rsidP="00572BCD">
      <w:pPr>
        <w:pStyle w:val="Heading3"/>
        <w:rPr>
          <w:lang w:val="en-AU" w:eastAsia="ar-SA"/>
        </w:rPr>
      </w:pPr>
      <w:bookmarkStart w:id="38" w:name="_Toc58384424"/>
      <w:r w:rsidRPr="006612FC">
        <w:rPr>
          <w:lang w:val="en-AU" w:eastAsia="ar-SA"/>
        </w:rPr>
        <w:t>Gap:</w:t>
      </w:r>
      <w:bookmarkEnd w:id="38"/>
    </w:p>
    <w:p w14:paraId="5AD1D93C"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No Gap</w:t>
      </w:r>
    </w:p>
    <w:p w14:paraId="3F87C18B" w14:textId="77777777" w:rsidR="00572BCD" w:rsidRPr="00E35F96" w:rsidRDefault="00572BCD" w:rsidP="00572BCD">
      <w:pPr>
        <w:pStyle w:val="Heading2"/>
        <w:rPr>
          <w:lang w:val="en-AU" w:eastAsia="ar-SA"/>
        </w:rPr>
      </w:pPr>
      <w:bookmarkStart w:id="39" w:name="_Toc58384425"/>
      <w:r>
        <w:rPr>
          <w:lang w:val="en-AU" w:eastAsia="ar-SA"/>
        </w:rPr>
        <w:t>Term Accounts</w:t>
      </w:r>
      <w:bookmarkEnd w:id="39"/>
    </w:p>
    <w:p w14:paraId="5618B6CE" w14:textId="77777777" w:rsidR="00572BCD" w:rsidRPr="006612FC" w:rsidRDefault="00572BCD" w:rsidP="00572BCD">
      <w:pPr>
        <w:pStyle w:val="Heading3"/>
        <w:rPr>
          <w:lang w:val="en-AU" w:eastAsia="ar-SA"/>
        </w:rPr>
      </w:pPr>
      <w:bookmarkStart w:id="40" w:name="_Toc58384426"/>
      <w:r w:rsidRPr="006612FC">
        <w:rPr>
          <w:lang w:val="en-AU" w:eastAsia="ar-SA"/>
        </w:rPr>
        <w:t>Requirement</w:t>
      </w:r>
      <w:bookmarkEnd w:id="40"/>
    </w:p>
    <w:p w14:paraId="0D29D75A" w14:textId="7ADC689F"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Term accounts in </w:t>
      </w:r>
      <w:r>
        <w:rPr>
          <w:rFonts w:cs="Calibri"/>
          <w:color w:val="212121"/>
          <w:lang w:val="en-AU"/>
        </w:rPr>
        <w:t>CLIENT</w:t>
      </w:r>
      <w:r>
        <w:rPr>
          <w:rFonts w:cs="Calibri"/>
          <w:color w:val="212121"/>
          <w:lang w:val="en-AU"/>
        </w:rPr>
        <w:t xml:space="preserve"> are used as security to credit facilities as well as standalone investments by customer</w:t>
      </w:r>
    </w:p>
    <w:p w14:paraId="19375B5C"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Term accounts need to be auto renewed by the application as default</w:t>
      </w:r>
    </w:p>
    <w:p w14:paraId="7BB88CB8"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If Term deposit accounts are used as security to credit </w:t>
      </w:r>
      <w:proofErr w:type="gramStart"/>
      <w:r>
        <w:rPr>
          <w:rFonts w:cs="Calibri"/>
          <w:color w:val="212121"/>
          <w:lang w:val="en-AU"/>
        </w:rPr>
        <w:t>facilities</w:t>
      </w:r>
      <w:proofErr w:type="gramEnd"/>
      <w:r>
        <w:rPr>
          <w:rFonts w:cs="Calibri"/>
          <w:color w:val="212121"/>
          <w:lang w:val="en-AU"/>
        </w:rPr>
        <w:t xml:space="preserve"> then, appropriate cash block need to be set at account level for the lien amount</w:t>
      </w:r>
    </w:p>
    <w:p w14:paraId="71FB66CD" w14:textId="77777777" w:rsidR="00572BCD" w:rsidRPr="00C47E36" w:rsidRDefault="00572BCD" w:rsidP="00572BCD">
      <w:pPr>
        <w:numPr>
          <w:ilvl w:val="0"/>
          <w:numId w:val="2"/>
        </w:numPr>
        <w:spacing w:after="0" w:line="240" w:lineRule="auto"/>
        <w:jc w:val="both"/>
        <w:rPr>
          <w:rFonts w:cs="Calibri"/>
          <w:color w:val="212121"/>
          <w:lang w:val="en-AU"/>
        </w:rPr>
      </w:pPr>
      <w:r>
        <w:rPr>
          <w:rFonts w:cs="Calibri"/>
          <w:color w:val="212121"/>
          <w:lang w:val="en-AU"/>
        </w:rPr>
        <w:t>The release of security will only allow the cash block amount release</w:t>
      </w:r>
    </w:p>
    <w:p w14:paraId="54A3BF55" w14:textId="77777777" w:rsidR="00572BCD" w:rsidRPr="006612FC" w:rsidRDefault="00572BCD" w:rsidP="00572BCD">
      <w:pPr>
        <w:pStyle w:val="Heading3"/>
        <w:rPr>
          <w:lang w:val="en-AU" w:eastAsia="ar-SA"/>
        </w:rPr>
      </w:pPr>
      <w:bookmarkStart w:id="41" w:name="_Toc58384427"/>
      <w:r w:rsidRPr="006612FC">
        <w:rPr>
          <w:lang w:val="en-AU" w:eastAsia="ar-SA"/>
        </w:rPr>
        <w:t>Solution Mapping:</w:t>
      </w:r>
      <w:bookmarkEnd w:id="41"/>
      <w:r w:rsidRPr="006612FC">
        <w:rPr>
          <w:lang w:val="en-AU" w:eastAsia="ar-SA"/>
        </w:rPr>
        <w:t xml:space="preserve"> </w:t>
      </w:r>
    </w:p>
    <w:p w14:paraId="28EFF945"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System supports term deposit account creation and maintenance</w:t>
      </w:r>
    </w:p>
    <w:p w14:paraId="193A9A4B"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Term Deposit rates are stamped at account level</w:t>
      </w:r>
    </w:p>
    <w:p w14:paraId="783DFAFF"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Interest can be transferred to customer account on period intervals or on maturity</w:t>
      </w:r>
    </w:p>
    <w:p w14:paraId="7CD2FAF9"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Term deposits can also be linked as security to credit facilities and cash blocks can be set up on account</w:t>
      </w:r>
    </w:p>
    <w:p w14:paraId="44F329DA"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Term deposits </w:t>
      </w:r>
      <w:proofErr w:type="gramStart"/>
      <w:r>
        <w:rPr>
          <w:rFonts w:cs="Calibri"/>
          <w:color w:val="212121"/>
          <w:lang w:val="en-AU"/>
        </w:rPr>
        <w:t>supports</w:t>
      </w:r>
      <w:proofErr w:type="gramEnd"/>
      <w:r>
        <w:rPr>
          <w:rFonts w:cs="Calibri"/>
          <w:color w:val="212121"/>
          <w:lang w:val="en-AU"/>
        </w:rPr>
        <w:t xml:space="preserve"> pre-closure simulation to identify the pre-closure amount</w:t>
      </w:r>
    </w:p>
    <w:p w14:paraId="3F9972BA"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Breakout penalties can be configured at product level</w:t>
      </w:r>
    </w:p>
    <w:p w14:paraId="7CD31DF0" w14:textId="77777777" w:rsidR="00572BCD" w:rsidRDefault="00572BCD" w:rsidP="00572BCD">
      <w:pPr>
        <w:keepNext/>
        <w:keepLines/>
        <w:numPr>
          <w:ilvl w:val="0"/>
          <w:numId w:val="2"/>
        </w:numPr>
        <w:spacing w:after="0" w:line="240" w:lineRule="auto"/>
        <w:jc w:val="both"/>
        <w:rPr>
          <w:rFonts w:cs="Calibri"/>
          <w:color w:val="212121"/>
          <w:lang w:val="en-AU"/>
        </w:rPr>
      </w:pPr>
      <w:r>
        <w:rPr>
          <w:rFonts w:cs="Calibri"/>
          <w:color w:val="212121"/>
          <w:lang w:val="en-AU"/>
        </w:rPr>
        <w:lastRenderedPageBreak/>
        <w:t>Maturity instructions on whether term deposit need to be auto renewed or renewed with principal only or close and transfer principal and interest can be set up</w:t>
      </w:r>
    </w:p>
    <w:p w14:paraId="4A306E42" w14:textId="77777777" w:rsidR="00572BCD" w:rsidRDefault="00572BCD" w:rsidP="00572BCD">
      <w:pPr>
        <w:spacing w:after="0" w:line="240" w:lineRule="auto"/>
        <w:jc w:val="both"/>
        <w:rPr>
          <w:rFonts w:cs="Calibri"/>
          <w:color w:val="212121"/>
          <w:lang w:val="en-AU"/>
        </w:rPr>
      </w:pPr>
      <w:r>
        <w:rPr>
          <w:noProof/>
        </w:rPr>
        <w:drawing>
          <wp:inline distT="0" distB="0" distL="0" distR="0" wp14:anchorId="30F27483" wp14:editId="20BAA06E">
            <wp:extent cx="5732145" cy="2492375"/>
            <wp:effectExtent l="0" t="0" r="1905" b="3175"/>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11"/>
                    <a:stretch>
                      <a:fillRect/>
                    </a:stretch>
                  </pic:blipFill>
                  <pic:spPr>
                    <a:xfrm>
                      <a:off x="0" y="0"/>
                      <a:ext cx="5732145" cy="2492375"/>
                    </a:xfrm>
                    <a:prstGeom prst="rect">
                      <a:avLst/>
                    </a:prstGeom>
                  </pic:spPr>
                </pic:pic>
              </a:graphicData>
            </a:graphic>
          </wp:inline>
        </w:drawing>
      </w:r>
    </w:p>
    <w:p w14:paraId="3F02AD5F" w14:textId="77777777" w:rsidR="00572BCD" w:rsidRPr="00DA584D" w:rsidRDefault="00572BCD" w:rsidP="00572BCD">
      <w:pPr>
        <w:pStyle w:val="Caption"/>
      </w:pPr>
      <w:bookmarkStart w:id="42" w:name="_Toc58384446"/>
      <w:r w:rsidRPr="005514DD">
        <w:t xml:space="preserve">Figure </w:t>
      </w:r>
      <w:r>
        <w:fldChar w:fldCharType="begin"/>
      </w:r>
      <w:r>
        <w:instrText xml:space="preserve"> SEQ Figure \* ARABIC </w:instrText>
      </w:r>
      <w:r>
        <w:fldChar w:fldCharType="separate"/>
      </w:r>
      <w:r>
        <w:rPr>
          <w:noProof/>
        </w:rPr>
        <w:t>7</w:t>
      </w:r>
      <w:r>
        <w:rPr>
          <w:noProof/>
        </w:rPr>
        <w:fldChar w:fldCharType="end"/>
      </w:r>
      <w:r w:rsidRPr="005514DD">
        <w:t xml:space="preserve">: </w:t>
      </w:r>
      <w:r>
        <w:t>Maturity Instruction</w:t>
      </w:r>
      <w:bookmarkEnd w:id="42"/>
    </w:p>
    <w:p w14:paraId="64C1F5B8" w14:textId="77777777" w:rsidR="00572BCD" w:rsidRPr="006612FC" w:rsidRDefault="00572BCD" w:rsidP="00572BCD">
      <w:pPr>
        <w:pStyle w:val="Heading3"/>
        <w:rPr>
          <w:lang w:val="en-AU" w:eastAsia="ar-SA"/>
        </w:rPr>
      </w:pPr>
      <w:bookmarkStart w:id="43" w:name="_Toc58384428"/>
      <w:r w:rsidRPr="006612FC">
        <w:rPr>
          <w:lang w:val="en-AU" w:eastAsia="ar-SA"/>
        </w:rPr>
        <w:t>Gap:</w:t>
      </w:r>
      <w:bookmarkEnd w:id="43"/>
    </w:p>
    <w:p w14:paraId="7FFC765F" w14:textId="77777777" w:rsidR="00572BCD" w:rsidRPr="00CD654D" w:rsidRDefault="00572BCD" w:rsidP="00572BCD">
      <w:pPr>
        <w:numPr>
          <w:ilvl w:val="0"/>
          <w:numId w:val="2"/>
        </w:numPr>
        <w:spacing w:after="0" w:line="240" w:lineRule="auto"/>
        <w:jc w:val="both"/>
        <w:rPr>
          <w:rFonts w:cs="Calibri"/>
          <w:color w:val="212121"/>
          <w:lang w:val="en-AU"/>
        </w:rPr>
      </w:pPr>
      <w:r>
        <w:rPr>
          <w:rFonts w:cs="Calibri"/>
          <w:color w:val="212121"/>
          <w:lang w:val="en-AU"/>
        </w:rPr>
        <w:t>No gap</w:t>
      </w:r>
    </w:p>
    <w:p w14:paraId="1356153F" w14:textId="77777777" w:rsidR="00572BCD" w:rsidRPr="00E35F96" w:rsidRDefault="00572BCD" w:rsidP="00572BCD">
      <w:pPr>
        <w:pStyle w:val="Heading2"/>
        <w:rPr>
          <w:lang w:val="en-AU" w:eastAsia="ar-SA"/>
        </w:rPr>
      </w:pPr>
      <w:bookmarkStart w:id="44" w:name="_Toc58384429"/>
      <w:r>
        <w:rPr>
          <w:lang w:val="en-AU" w:eastAsia="ar-SA"/>
        </w:rPr>
        <w:t>Islamic Deposits</w:t>
      </w:r>
      <w:bookmarkEnd w:id="44"/>
    </w:p>
    <w:p w14:paraId="6879D9BE" w14:textId="77777777" w:rsidR="00572BCD" w:rsidRPr="006612FC" w:rsidRDefault="00572BCD" w:rsidP="00572BCD">
      <w:pPr>
        <w:pStyle w:val="Heading3"/>
        <w:rPr>
          <w:lang w:val="en-AU" w:eastAsia="ar-SA"/>
        </w:rPr>
      </w:pPr>
      <w:bookmarkStart w:id="45" w:name="_Toc58384430"/>
      <w:r w:rsidRPr="006612FC">
        <w:rPr>
          <w:lang w:val="en-AU" w:eastAsia="ar-SA"/>
        </w:rPr>
        <w:t>Requirement</w:t>
      </w:r>
      <w:bookmarkEnd w:id="45"/>
    </w:p>
    <w:p w14:paraId="25A32F48" w14:textId="360ACC71"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Pr>
          <w:rFonts w:cs="Calibri"/>
          <w:color w:val="212121"/>
          <w:lang w:val="en-AU"/>
        </w:rPr>
        <w:t xml:space="preserve"> does not have Islamic deposits in legacy core banking</w:t>
      </w:r>
    </w:p>
    <w:p w14:paraId="0059AE28" w14:textId="7B3CD6B4"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Pr>
          <w:rFonts w:cs="Calibri"/>
          <w:color w:val="212121"/>
          <w:lang w:val="en-AU"/>
        </w:rPr>
        <w:t xml:space="preserve"> wants to explore the feasibility of Islamic deposits in the new system</w:t>
      </w:r>
    </w:p>
    <w:p w14:paraId="0B7AF593" w14:textId="3F35CA65"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All conventional current accounts in </w:t>
      </w:r>
      <w:r>
        <w:rPr>
          <w:rFonts w:cs="Calibri"/>
          <w:color w:val="212121"/>
          <w:lang w:val="en-AU"/>
        </w:rPr>
        <w:t>CLIENT</w:t>
      </w:r>
      <w:r>
        <w:rPr>
          <w:rFonts w:cs="Calibri"/>
          <w:color w:val="212121"/>
          <w:lang w:val="en-AU"/>
        </w:rPr>
        <w:t xml:space="preserve"> are non-interest bearing and hence it can be mapped to </w:t>
      </w:r>
      <w:proofErr w:type="spellStart"/>
      <w:r>
        <w:rPr>
          <w:rFonts w:cs="Calibri"/>
          <w:color w:val="212121"/>
          <w:lang w:val="en-AU"/>
        </w:rPr>
        <w:t>Qard</w:t>
      </w:r>
      <w:proofErr w:type="spellEnd"/>
      <w:r>
        <w:rPr>
          <w:rFonts w:cs="Calibri"/>
          <w:color w:val="212121"/>
          <w:lang w:val="en-AU"/>
        </w:rPr>
        <w:t xml:space="preserve"> type of Islamic deposit products</w:t>
      </w:r>
    </w:p>
    <w:p w14:paraId="072BAEFF" w14:textId="2A562A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Pr>
          <w:rFonts w:cs="Calibri"/>
          <w:color w:val="212121"/>
          <w:lang w:val="en-AU"/>
        </w:rPr>
        <w:t xml:space="preserve"> does not have Islamic pool calculation for </w:t>
      </w:r>
      <w:proofErr w:type="spellStart"/>
      <w:r>
        <w:rPr>
          <w:rFonts w:cs="Calibri"/>
          <w:color w:val="212121"/>
          <w:lang w:val="en-AU"/>
        </w:rPr>
        <w:t>Wakalah</w:t>
      </w:r>
      <w:proofErr w:type="spellEnd"/>
      <w:r>
        <w:rPr>
          <w:rFonts w:cs="Calibri"/>
          <w:color w:val="212121"/>
          <w:lang w:val="en-AU"/>
        </w:rPr>
        <w:t xml:space="preserve"> and </w:t>
      </w:r>
      <w:proofErr w:type="spellStart"/>
      <w:r>
        <w:rPr>
          <w:rFonts w:cs="Calibri"/>
          <w:color w:val="212121"/>
          <w:lang w:val="en-AU"/>
        </w:rPr>
        <w:t>Mudharaba</w:t>
      </w:r>
      <w:proofErr w:type="spellEnd"/>
      <w:r>
        <w:rPr>
          <w:rFonts w:cs="Calibri"/>
          <w:color w:val="212121"/>
          <w:lang w:val="en-AU"/>
        </w:rPr>
        <w:t xml:space="preserve"> type products</w:t>
      </w:r>
    </w:p>
    <w:p w14:paraId="31E51D08" w14:textId="32FABB2C"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Pr>
          <w:rFonts w:cs="Calibri"/>
          <w:color w:val="212121"/>
          <w:lang w:val="en-AU"/>
        </w:rPr>
        <w:t xml:space="preserve"> is also exploring the possibility of commodity Murabaha term deposit products (Those are not supported in new core banking system)</w:t>
      </w:r>
    </w:p>
    <w:p w14:paraId="3D979387" w14:textId="77777777" w:rsidR="00572BCD" w:rsidRDefault="00572BCD" w:rsidP="00572BCD">
      <w:pPr>
        <w:numPr>
          <w:ilvl w:val="0"/>
          <w:numId w:val="2"/>
        </w:numPr>
        <w:spacing w:after="0" w:line="240" w:lineRule="auto"/>
        <w:jc w:val="both"/>
        <w:rPr>
          <w:rFonts w:cs="Calibri"/>
          <w:color w:val="212121"/>
          <w:lang w:val="en-AU"/>
        </w:rPr>
      </w:pPr>
      <w:r w:rsidRPr="008C5E3A">
        <w:rPr>
          <w:rFonts w:cs="Calibri"/>
          <w:color w:val="212121"/>
          <w:highlight w:val="yellow"/>
          <w:lang w:val="en-AU"/>
        </w:rPr>
        <w:t>Hence for the current project scope Islamic deposits are not required,</w:t>
      </w:r>
      <w:r>
        <w:rPr>
          <w:rFonts w:cs="Calibri"/>
          <w:color w:val="212121"/>
          <w:lang w:val="en-AU"/>
        </w:rPr>
        <w:t xml:space="preserve"> though in future this can be revisited</w:t>
      </w:r>
    </w:p>
    <w:p w14:paraId="7B0369E5" w14:textId="77777777" w:rsidR="00572BCD" w:rsidRPr="006612FC" w:rsidRDefault="00572BCD" w:rsidP="00572BCD">
      <w:pPr>
        <w:pStyle w:val="Heading3"/>
        <w:rPr>
          <w:lang w:val="en-AU" w:eastAsia="ar-SA"/>
        </w:rPr>
      </w:pPr>
      <w:bookmarkStart w:id="46" w:name="_Toc58384431"/>
      <w:r w:rsidRPr="006612FC">
        <w:rPr>
          <w:lang w:val="en-AU" w:eastAsia="ar-SA"/>
        </w:rPr>
        <w:t>Solution Mapping:</w:t>
      </w:r>
      <w:bookmarkEnd w:id="46"/>
      <w:r w:rsidRPr="006612FC">
        <w:rPr>
          <w:lang w:val="en-AU" w:eastAsia="ar-SA"/>
        </w:rPr>
        <w:t xml:space="preserve"> </w:t>
      </w:r>
    </w:p>
    <w:p w14:paraId="4D027DD0" w14:textId="77ACE156"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 xml:space="preserve">Out of the required products in </w:t>
      </w:r>
      <w:r>
        <w:rPr>
          <w:rFonts w:cs="Calibri"/>
          <w:color w:val="212121"/>
          <w:lang w:val="en-AU"/>
        </w:rPr>
        <w:t>CLIENT</w:t>
      </w:r>
      <w:r>
        <w:rPr>
          <w:rFonts w:cs="Calibri"/>
          <w:color w:val="212121"/>
          <w:lang w:val="en-AU"/>
        </w:rPr>
        <w:t xml:space="preserve">, system supports Wadia and </w:t>
      </w:r>
      <w:proofErr w:type="spellStart"/>
      <w:r>
        <w:rPr>
          <w:rFonts w:cs="Calibri"/>
          <w:color w:val="212121"/>
          <w:lang w:val="en-AU"/>
        </w:rPr>
        <w:t>Mudharaba</w:t>
      </w:r>
      <w:proofErr w:type="spellEnd"/>
      <w:r>
        <w:rPr>
          <w:rFonts w:cs="Calibri"/>
          <w:color w:val="212121"/>
          <w:lang w:val="en-AU"/>
        </w:rPr>
        <w:t xml:space="preserve"> current accounts</w:t>
      </w:r>
    </w:p>
    <w:p w14:paraId="73A165B5" w14:textId="77777777" w:rsidR="00572BCD" w:rsidRDefault="00572BCD" w:rsidP="00572BCD">
      <w:pPr>
        <w:numPr>
          <w:ilvl w:val="0"/>
          <w:numId w:val="2"/>
        </w:numPr>
        <w:spacing w:after="0" w:line="240" w:lineRule="auto"/>
        <w:jc w:val="both"/>
        <w:rPr>
          <w:rFonts w:cs="Calibri"/>
          <w:color w:val="212121"/>
          <w:lang w:val="en-AU"/>
        </w:rPr>
      </w:pPr>
      <w:proofErr w:type="spellStart"/>
      <w:r>
        <w:rPr>
          <w:rFonts w:cs="Calibri"/>
          <w:color w:val="212121"/>
          <w:lang w:val="en-AU"/>
        </w:rPr>
        <w:t>Mudharaba</w:t>
      </w:r>
      <w:proofErr w:type="spellEnd"/>
      <w:r>
        <w:rPr>
          <w:rFonts w:cs="Calibri"/>
          <w:color w:val="212121"/>
          <w:lang w:val="en-AU"/>
        </w:rPr>
        <w:t xml:space="preserve"> term deposits are also supported</w:t>
      </w:r>
    </w:p>
    <w:p w14:paraId="11C7C618"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The products can be configured as distinct product set and accounts can be created underneath</w:t>
      </w:r>
    </w:p>
    <w:p w14:paraId="38074B94" w14:textId="77777777" w:rsidR="00572BCD" w:rsidRPr="006612FC" w:rsidRDefault="00572BCD" w:rsidP="00572BCD">
      <w:pPr>
        <w:pStyle w:val="Heading3"/>
        <w:rPr>
          <w:lang w:val="en-AU" w:eastAsia="ar-SA"/>
        </w:rPr>
      </w:pPr>
      <w:bookmarkStart w:id="47" w:name="_Toc58384432"/>
      <w:r w:rsidRPr="006612FC">
        <w:rPr>
          <w:lang w:val="en-AU" w:eastAsia="ar-SA"/>
        </w:rPr>
        <w:t>Gap:</w:t>
      </w:r>
      <w:bookmarkEnd w:id="47"/>
    </w:p>
    <w:p w14:paraId="0AEB43D6" w14:textId="77777777" w:rsidR="00572BCD" w:rsidRPr="00307B0C" w:rsidRDefault="00572BCD" w:rsidP="00572BCD">
      <w:pPr>
        <w:numPr>
          <w:ilvl w:val="0"/>
          <w:numId w:val="2"/>
        </w:numPr>
        <w:spacing w:after="0" w:line="240" w:lineRule="auto"/>
        <w:jc w:val="both"/>
        <w:rPr>
          <w:rFonts w:cs="Calibri"/>
          <w:color w:val="212121"/>
          <w:lang w:val="en-AU"/>
        </w:rPr>
      </w:pPr>
      <w:r>
        <w:rPr>
          <w:rFonts w:cs="Calibri"/>
          <w:color w:val="212121"/>
          <w:lang w:val="en-AU"/>
        </w:rPr>
        <w:t>None</w:t>
      </w:r>
    </w:p>
    <w:p w14:paraId="7E961EC3" w14:textId="77777777" w:rsidR="00572BCD" w:rsidRPr="00E35F96" w:rsidRDefault="00572BCD" w:rsidP="00572BCD">
      <w:pPr>
        <w:pStyle w:val="Heading2"/>
        <w:rPr>
          <w:lang w:val="en-AU" w:eastAsia="ar-SA"/>
        </w:rPr>
      </w:pPr>
      <w:bookmarkStart w:id="48" w:name="_Toc58384433"/>
      <w:r>
        <w:rPr>
          <w:lang w:val="en-AU" w:eastAsia="ar-SA"/>
        </w:rPr>
        <w:t>Cash Management</w:t>
      </w:r>
      <w:bookmarkEnd w:id="48"/>
    </w:p>
    <w:p w14:paraId="60271D9E" w14:textId="77777777" w:rsidR="00572BCD" w:rsidRPr="006612FC" w:rsidRDefault="00572BCD" w:rsidP="00572BCD">
      <w:pPr>
        <w:pStyle w:val="Heading3"/>
        <w:rPr>
          <w:lang w:val="en-AU" w:eastAsia="ar-SA"/>
        </w:rPr>
      </w:pPr>
      <w:bookmarkStart w:id="49" w:name="_Toc58384434"/>
      <w:r w:rsidRPr="006612FC">
        <w:rPr>
          <w:lang w:val="en-AU" w:eastAsia="ar-SA"/>
        </w:rPr>
        <w:t>Requirement</w:t>
      </w:r>
      <w:bookmarkEnd w:id="49"/>
    </w:p>
    <w:p w14:paraId="57A81D20" w14:textId="41593B06"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CLIENT</w:t>
      </w:r>
      <w:r>
        <w:rPr>
          <w:rFonts w:cs="Calibri"/>
          <w:color w:val="212121"/>
          <w:lang w:val="en-AU"/>
        </w:rPr>
        <w:t xml:space="preserve"> requires teller cash management with cash transfers to and from:</w:t>
      </w:r>
    </w:p>
    <w:p w14:paraId="67722F96"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lastRenderedPageBreak/>
        <w:t>Branch to Branch</w:t>
      </w:r>
    </w:p>
    <w:p w14:paraId="22987AF7"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Vault teller to teller</w:t>
      </w:r>
    </w:p>
    <w:p w14:paraId="4EB217AB"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Teller to Teller</w:t>
      </w:r>
    </w:p>
    <w:p w14:paraId="2142CEF8" w14:textId="77777777" w:rsidR="00572BCD" w:rsidRDefault="00572BCD" w:rsidP="00572BCD">
      <w:pPr>
        <w:numPr>
          <w:ilvl w:val="1"/>
          <w:numId w:val="2"/>
        </w:numPr>
        <w:spacing w:after="0" w:line="240" w:lineRule="auto"/>
        <w:jc w:val="both"/>
        <w:rPr>
          <w:rFonts w:cs="Calibri"/>
          <w:color w:val="212121"/>
          <w:lang w:val="en-AU"/>
        </w:rPr>
      </w:pPr>
      <w:r>
        <w:rPr>
          <w:rFonts w:cs="Calibri"/>
          <w:color w:val="212121"/>
          <w:lang w:val="en-AU"/>
        </w:rPr>
        <w:t>Teller to customer (debit/credit)</w:t>
      </w:r>
    </w:p>
    <w:p w14:paraId="1B0ABD63"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Cash transactions in accounts need to be immediately booked and cash drawer position to be updated with denomination breakup</w:t>
      </w:r>
    </w:p>
    <w:p w14:paraId="061048C6"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Reconciliation of physical cash and system cash drawer to be facilitated</w:t>
      </w:r>
    </w:p>
    <w:p w14:paraId="39C4842F"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All cash transactions across modules need to have cash drawer to record the denominations</w:t>
      </w:r>
    </w:p>
    <w:p w14:paraId="430FD804" w14:textId="77777777" w:rsidR="00572BCD" w:rsidRPr="006612FC" w:rsidRDefault="00572BCD" w:rsidP="00572BCD">
      <w:pPr>
        <w:pStyle w:val="Heading3"/>
        <w:rPr>
          <w:lang w:val="en-AU" w:eastAsia="ar-SA"/>
        </w:rPr>
      </w:pPr>
      <w:bookmarkStart w:id="50" w:name="_Toc58384435"/>
      <w:r w:rsidRPr="006612FC">
        <w:rPr>
          <w:lang w:val="en-AU" w:eastAsia="ar-SA"/>
        </w:rPr>
        <w:t>Solution Mapping:</w:t>
      </w:r>
      <w:bookmarkEnd w:id="50"/>
      <w:r w:rsidRPr="006612FC">
        <w:rPr>
          <w:lang w:val="en-AU" w:eastAsia="ar-SA"/>
        </w:rPr>
        <w:t xml:space="preserve"> </w:t>
      </w:r>
    </w:p>
    <w:p w14:paraId="51DEDC3B"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System supports teller as well as branch level cash position to users to monitor the cash position</w:t>
      </w:r>
    </w:p>
    <w:p w14:paraId="6DB3A7E9"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Chief Cashier/Vault teller configuration is supported to regulate the cash in and out from vault</w:t>
      </w:r>
    </w:p>
    <w:p w14:paraId="203D85BD"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Transfers between tellers, branches and chief cashier are separately recorded</w:t>
      </w:r>
    </w:p>
    <w:p w14:paraId="7340734E"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Facilitates reconciliation between physical and system cash drawer denomination wise with cash drawer open and close facility.</w:t>
      </w:r>
    </w:p>
    <w:p w14:paraId="0A947AC4" w14:textId="77777777" w:rsidR="00572BCD" w:rsidRDefault="00572BCD" w:rsidP="00572BCD">
      <w:pPr>
        <w:spacing w:after="0" w:line="240" w:lineRule="auto"/>
        <w:jc w:val="both"/>
        <w:rPr>
          <w:rFonts w:cs="Calibri"/>
          <w:color w:val="212121"/>
          <w:lang w:val="en-AU"/>
        </w:rPr>
      </w:pPr>
      <w:r>
        <w:rPr>
          <w:noProof/>
        </w:rPr>
        <w:drawing>
          <wp:inline distT="0" distB="0" distL="0" distR="0" wp14:anchorId="3F50119C" wp14:editId="32A94CF7">
            <wp:extent cx="5732145" cy="1323975"/>
            <wp:effectExtent l="0" t="0" r="1905" b="9525"/>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pic:nvPicPr>
                  <pic:blipFill>
                    <a:blip r:embed="rId12"/>
                    <a:stretch>
                      <a:fillRect/>
                    </a:stretch>
                  </pic:blipFill>
                  <pic:spPr>
                    <a:xfrm>
                      <a:off x="0" y="0"/>
                      <a:ext cx="5732145" cy="1323975"/>
                    </a:xfrm>
                    <a:prstGeom prst="rect">
                      <a:avLst/>
                    </a:prstGeom>
                  </pic:spPr>
                </pic:pic>
              </a:graphicData>
            </a:graphic>
          </wp:inline>
        </w:drawing>
      </w:r>
    </w:p>
    <w:p w14:paraId="7D365564" w14:textId="77777777" w:rsidR="00572BCD" w:rsidRPr="00DA584D" w:rsidRDefault="00572BCD" w:rsidP="00572BCD">
      <w:pPr>
        <w:pStyle w:val="Caption"/>
      </w:pPr>
      <w:bookmarkStart w:id="51" w:name="_Toc58384447"/>
      <w:r w:rsidRPr="005514DD">
        <w:t xml:space="preserve">Figure </w:t>
      </w:r>
      <w:r>
        <w:fldChar w:fldCharType="begin"/>
      </w:r>
      <w:r>
        <w:instrText xml:space="preserve"> SEQ Figure \* ARABIC </w:instrText>
      </w:r>
      <w:r>
        <w:fldChar w:fldCharType="separate"/>
      </w:r>
      <w:r>
        <w:rPr>
          <w:noProof/>
        </w:rPr>
        <w:t>8</w:t>
      </w:r>
      <w:r>
        <w:rPr>
          <w:noProof/>
        </w:rPr>
        <w:fldChar w:fldCharType="end"/>
      </w:r>
      <w:r w:rsidRPr="005514DD">
        <w:t xml:space="preserve">: </w:t>
      </w:r>
      <w:r>
        <w:t>Cash Request Initiation</w:t>
      </w:r>
      <w:bookmarkEnd w:id="51"/>
    </w:p>
    <w:p w14:paraId="2876D344" w14:textId="77777777" w:rsidR="00572BCD" w:rsidRDefault="00572BCD" w:rsidP="00572BCD">
      <w:pPr>
        <w:spacing w:after="0" w:line="240" w:lineRule="auto"/>
        <w:jc w:val="both"/>
        <w:rPr>
          <w:rFonts w:cs="Calibri"/>
          <w:color w:val="212121"/>
          <w:lang w:val="en-AU"/>
        </w:rPr>
      </w:pPr>
    </w:p>
    <w:p w14:paraId="7193ADF1" w14:textId="77777777" w:rsidR="00572BCD" w:rsidRPr="006612FC" w:rsidRDefault="00572BCD" w:rsidP="00572BCD">
      <w:pPr>
        <w:pStyle w:val="Heading3"/>
        <w:rPr>
          <w:lang w:val="en-AU" w:eastAsia="ar-SA"/>
        </w:rPr>
      </w:pPr>
      <w:bookmarkStart w:id="52" w:name="_Toc58384436"/>
      <w:r w:rsidRPr="006612FC">
        <w:rPr>
          <w:lang w:val="en-AU" w:eastAsia="ar-SA"/>
        </w:rPr>
        <w:t>Gap:</w:t>
      </w:r>
      <w:bookmarkEnd w:id="52"/>
    </w:p>
    <w:p w14:paraId="4984F960" w14:textId="77777777" w:rsidR="00572BCD" w:rsidRDefault="00572BCD" w:rsidP="00572BCD">
      <w:pPr>
        <w:numPr>
          <w:ilvl w:val="0"/>
          <w:numId w:val="2"/>
        </w:numPr>
        <w:spacing w:after="0" w:line="240" w:lineRule="auto"/>
        <w:jc w:val="both"/>
        <w:rPr>
          <w:rFonts w:cs="Calibri"/>
          <w:color w:val="212121"/>
          <w:lang w:val="en-AU"/>
        </w:rPr>
      </w:pPr>
      <w:r>
        <w:rPr>
          <w:rFonts w:cs="Calibri"/>
          <w:color w:val="212121"/>
          <w:lang w:val="en-AU"/>
        </w:rPr>
        <w:t>No gap</w:t>
      </w:r>
    </w:p>
    <w:p w14:paraId="0D5FB769" w14:textId="77777777" w:rsidR="00572BCD" w:rsidRPr="00837D03" w:rsidRDefault="00572BCD" w:rsidP="00572BCD">
      <w:pPr>
        <w:pStyle w:val="Heading2"/>
      </w:pPr>
      <w:bookmarkStart w:id="53" w:name="_Toc58384437"/>
      <w:bookmarkEnd w:id="22"/>
      <w:bookmarkEnd w:id="23"/>
      <w:r w:rsidRPr="00837D03">
        <w:t>Interface requirements</w:t>
      </w:r>
      <w:bookmarkEnd w:id="53"/>
    </w:p>
    <w:p w14:paraId="2C0C0153" w14:textId="77777777" w:rsidR="00572BCD" w:rsidRPr="00146FF0" w:rsidRDefault="00572BCD" w:rsidP="00572BCD">
      <w:pPr>
        <w:spacing w:after="0"/>
        <w:ind w:left="1800"/>
        <w:jc w:val="both"/>
        <w:rPr>
          <w:color w:val="FF0000"/>
          <w:lang w:val="en-US"/>
        </w:rPr>
      </w:pPr>
    </w:p>
    <w:p w14:paraId="639BA03F" w14:textId="77777777" w:rsidR="00572BCD" w:rsidRDefault="00572BCD" w:rsidP="00572BCD">
      <w:pPr>
        <w:spacing w:after="0"/>
        <w:jc w:val="both"/>
        <w:rPr>
          <w:color w:val="000000"/>
          <w:lang w:val="en-US"/>
        </w:rPr>
      </w:pPr>
    </w:p>
    <w:tbl>
      <w:tblPr>
        <w:tblW w:w="8658" w:type="dxa"/>
        <w:tblInd w:w="1327" w:type="dxa"/>
        <w:tblLook w:val="04A0" w:firstRow="1" w:lastRow="0" w:firstColumn="1" w:lastColumn="0" w:noHBand="0" w:noVBand="1"/>
      </w:tblPr>
      <w:tblGrid>
        <w:gridCol w:w="960"/>
        <w:gridCol w:w="3407"/>
        <w:gridCol w:w="4291"/>
      </w:tblGrid>
      <w:tr w:rsidR="00572BCD" w:rsidRPr="00F53515" w14:paraId="6CCC1EDA" w14:textId="77777777" w:rsidTr="008016D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45F7B95" w14:textId="77777777" w:rsidR="00572BCD" w:rsidRPr="00F53515" w:rsidRDefault="00572BCD" w:rsidP="008016DA">
            <w:pPr>
              <w:spacing w:after="0"/>
              <w:rPr>
                <w:rFonts w:eastAsia="Times New Roman" w:cs="Calibri"/>
                <w:b/>
                <w:bCs/>
                <w:color w:val="000000"/>
                <w:lang w:val="en-US"/>
              </w:rPr>
            </w:pPr>
            <w:r w:rsidRPr="00F53515">
              <w:rPr>
                <w:rFonts w:eastAsia="Times New Roman" w:cs="Calibri"/>
                <w:b/>
                <w:bCs/>
                <w:color w:val="000000"/>
                <w:lang w:val="en-US"/>
              </w:rPr>
              <w:t>SL.NO</w:t>
            </w:r>
          </w:p>
        </w:tc>
        <w:tc>
          <w:tcPr>
            <w:tcW w:w="3407" w:type="dxa"/>
            <w:tcBorders>
              <w:top w:val="single" w:sz="4" w:space="0" w:color="auto"/>
              <w:left w:val="nil"/>
              <w:bottom w:val="single" w:sz="4" w:space="0" w:color="auto"/>
              <w:right w:val="single" w:sz="4" w:space="0" w:color="auto"/>
            </w:tcBorders>
            <w:shd w:val="clear" w:color="000000" w:fill="BDD7EE"/>
            <w:noWrap/>
            <w:hideMark/>
          </w:tcPr>
          <w:p w14:paraId="3E14F625" w14:textId="77777777" w:rsidR="00572BCD" w:rsidRPr="00F53515" w:rsidRDefault="00572BCD" w:rsidP="008016DA">
            <w:pPr>
              <w:spacing w:after="0"/>
              <w:rPr>
                <w:rFonts w:eastAsia="Times New Roman" w:cs="Calibri"/>
                <w:b/>
                <w:bCs/>
                <w:color w:val="000000"/>
                <w:lang w:val="en-US"/>
              </w:rPr>
            </w:pPr>
            <w:r>
              <w:rPr>
                <w:rFonts w:eastAsia="Times New Roman" w:cs="Calibri"/>
                <w:b/>
                <w:bCs/>
                <w:color w:val="000000"/>
                <w:lang w:val="en-US"/>
              </w:rPr>
              <w:t>Interface</w:t>
            </w:r>
          </w:p>
        </w:tc>
        <w:tc>
          <w:tcPr>
            <w:tcW w:w="4291" w:type="dxa"/>
            <w:tcBorders>
              <w:top w:val="single" w:sz="4" w:space="0" w:color="auto"/>
              <w:left w:val="nil"/>
              <w:bottom w:val="single" w:sz="4" w:space="0" w:color="auto"/>
              <w:right w:val="single" w:sz="4" w:space="0" w:color="auto"/>
            </w:tcBorders>
            <w:shd w:val="clear" w:color="000000" w:fill="BDD7EE"/>
            <w:hideMark/>
          </w:tcPr>
          <w:p w14:paraId="4533BC50" w14:textId="77777777" w:rsidR="00572BCD" w:rsidRPr="00F53515" w:rsidRDefault="00572BCD" w:rsidP="008016DA">
            <w:pPr>
              <w:spacing w:after="0"/>
              <w:rPr>
                <w:rFonts w:eastAsia="Times New Roman" w:cs="Calibri"/>
                <w:b/>
                <w:bCs/>
                <w:color w:val="000000"/>
                <w:lang w:val="en-US"/>
              </w:rPr>
            </w:pPr>
            <w:r w:rsidRPr="00F53515">
              <w:rPr>
                <w:rFonts w:eastAsia="Times New Roman" w:cs="Calibri"/>
                <w:b/>
                <w:bCs/>
                <w:color w:val="000000"/>
                <w:lang w:val="en-US"/>
              </w:rPr>
              <w:t>Description</w:t>
            </w:r>
          </w:p>
        </w:tc>
      </w:tr>
      <w:tr w:rsidR="00572BCD" w:rsidRPr="00F53515" w14:paraId="277D303C" w14:textId="77777777" w:rsidTr="008016DA">
        <w:trPr>
          <w:trHeight w:val="25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DC89092" w14:textId="77777777" w:rsidR="00572BCD" w:rsidRPr="000D7574" w:rsidRDefault="00572BCD" w:rsidP="008016DA">
            <w:pPr>
              <w:spacing w:after="0" w:line="240" w:lineRule="auto"/>
              <w:jc w:val="center"/>
              <w:rPr>
                <w:rFonts w:eastAsia="Times New Roman" w:cs="Calibri"/>
                <w:sz w:val="20"/>
                <w:szCs w:val="20"/>
                <w:lang w:val="en-US"/>
              </w:rPr>
            </w:pPr>
            <w:r w:rsidRPr="000D7574">
              <w:rPr>
                <w:rFonts w:eastAsia="Times New Roman" w:cs="Calibri"/>
                <w:sz w:val="20"/>
                <w:szCs w:val="20"/>
                <w:lang w:val="en-US"/>
              </w:rPr>
              <w:t>1</w:t>
            </w:r>
          </w:p>
        </w:tc>
        <w:tc>
          <w:tcPr>
            <w:tcW w:w="3407" w:type="dxa"/>
            <w:tcBorders>
              <w:top w:val="single" w:sz="4" w:space="0" w:color="auto"/>
              <w:left w:val="nil"/>
              <w:bottom w:val="single" w:sz="4" w:space="0" w:color="auto"/>
              <w:right w:val="single" w:sz="4" w:space="0" w:color="auto"/>
            </w:tcBorders>
            <w:noWrap/>
            <w:hideMark/>
          </w:tcPr>
          <w:p w14:paraId="425F2926" w14:textId="77777777" w:rsidR="00572BCD" w:rsidRPr="000D7574" w:rsidRDefault="00572BCD" w:rsidP="008016DA">
            <w:pPr>
              <w:spacing w:after="0"/>
              <w:rPr>
                <w:rFonts w:eastAsia="Times New Roman" w:cs="Calibri"/>
                <w:sz w:val="20"/>
                <w:szCs w:val="20"/>
                <w:lang w:val="en-US"/>
              </w:rPr>
            </w:pPr>
            <w:r>
              <w:rPr>
                <w:rFonts w:eastAsia="Times New Roman" w:cs="Calibri"/>
                <w:sz w:val="20"/>
                <w:szCs w:val="20"/>
                <w:lang w:val="en-US"/>
              </w:rPr>
              <w:t>Cheque Printing system</w:t>
            </w:r>
          </w:p>
        </w:tc>
        <w:tc>
          <w:tcPr>
            <w:tcW w:w="4291" w:type="dxa"/>
            <w:tcBorders>
              <w:top w:val="single" w:sz="4" w:space="0" w:color="auto"/>
              <w:left w:val="nil"/>
              <w:bottom w:val="single" w:sz="4" w:space="0" w:color="auto"/>
              <w:right w:val="single" w:sz="4" w:space="0" w:color="auto"/>
            </w:tcBorders>
            <w:hideMark/>
          </w:tcPr>
          <w:p w14:paraId="57BA773C" w14:textId="77777777" w:rsidR="00572BCD" w:rsidRPr="000D7574" w:rsidRDefault="00572BCD" w:rsidP="008016DA">
            <w:pPr>
              <w:spacing w:after="0"/>
              <w:rPr>
                <w:rFonts w:eastAsia="Times New Roman" w:cs="Calibri"/>
                <w:sz w:val="20"/>
                <w:szCs w:val="20"/>
                <w:lang w:val="en-US"/>
              </w:rPr>
            </w:pPr>
            <w:r>
              <w:rPr>
                <w:rFonts w:eastAsia="Times New Roman" w:cs="Calibri"/>
                <w:sz w:val="20"/>
                <w:szCs w:val="20"/>
                <w:lang w:val="en-US"/>
              </w:rPr>
              <w:t>Cheque book printing system</w:t>
            </w:r>
          </w:p>
        </w:tc>
      </w:tr>
      <w:tr w:rsidR="00572BCD" w:rsidRPr="00F53515" w14:paraId="57FC6999" w14:textId="77777777" w:rsidTr="008016DA">
        <w:trPr>
          <w:trHeight w:val="255"/>
        </w:trPr>
        <w:tc>
          <w:tcPr>
            <w:tcW w:w="960" w:type="dxa"/>
            <w:tcBorders>
              <w:top w:val="single" w:sz="4" w:space="0" w:color="auto"/>
              <w:left w:val="single" w:sz="4" w:space="0" w:color="auto"/>
              <w:bottom w:val="single" w:sz="4" w:space="0" w:color="auto"/>
              <w:right w:val="single" w:sz="4" w:space="0" w:color="auto"/>
            </w:tcBorders>
            <w:noWrap/>
            <w:vAlign w:val="bottom"/>
          </w:tcPr>
          <w:p w14:paraId="08B035CF" w14:textId="77777777" w:rsidR="00572BCD" w:rsidRPr="000D7574" w:rsidRDefault="00572BCD" w:rsidP="008016DA">
            <w:pPr>
              <w:spacing w:after="0" w:line="240" w:lineRule="auto"/>
              <w:jc w:val="center"/>
              <w:rPr>
                <w:rFonts w:eastAsia="Times New Roman" w:cs="Calibri"/>
                <w:sz w:val="20"/>
                <w:szCs w:val="20"/>
                <w:lang w:val="en-US"/>
              </w:rPr>
            </w:pPr>
          </w:p>
        </w:tc>
        <w:tc>
          <w:tcPr>
            <w:tcW w:w="3407" w:type="dxa"/>
            <w:tcBorders>
              <w:top w:val="single" w:sz="4" w:space="0" w:color="auto"/>
              <w:left w:val="nil"/>
              <w:bottom w:val="single" w:sz="4" w:space="0" w:color="auto"/>
              <w:right w:val="single" w:sz="4" w:space="0" w:color="auto"/>
            </w:tcBorders>
            <w:noWrap/>
          </w:tcPr>
          <w:p w14:paraId="6B0CE8AA" w14:textId="77777777" w:rsidR="00572BCD" w:rsidRDefault="00572BCD" w:rsidP="008016DA">
            <w:pPr>
              <w:spacing w:after="0"/>
              <w:rPr>
                <w:rFonts w:eastAsia="Times New Roman" w:cs="Calibri"/>
                <w:sz w:val="20"/>
                <w:szCs w:val="20"/>
                <w:lang w:val="en-US"/>
              </w:rPr>
            </w:pPr>
          </w:p>
        </w:tc>
        <w:tc>
          <w:tcPr>
            <w:tcW w:w="4291" w:type="dxa"/>
            <w:tcBorders>
              <w:top w:val="single" w:sz="4" w:space="0" w:color="auto"/>
              <w:left w:val="nil"/>
              <w:bottom w:val="single" w:sz="4" w:space="0" w:color="auto"/>
              <w:right w:val="single" w:sz="4" w:space="0" w:color="auto"/>
            </w:tcBorders>
          </w:tcPr>
          <w:p w14:paraId="6946B0E0" w14:textId="77777777" w:rsidR="00572BCD" w:rsidRDefault="00572BCD" w:rsidP="008016DA">
            <w:pPr>
              <w:spacing w:after="0"/>
              <w:rPr>
                <w:rFonts w:eastAsia="Times New Roman" w:cs="Calibri"/>
                <w:sz w:val="20"/>
                <w:szCs w:val="20"/>
                <w:lang w:val="en-US"/>
              </w:rPr>
            </w:pPr>
          </w:p>
        </w:tc>
      </w:tr>
      <w:tr w:rsidR="00572BCD" w:rsidRPr="00F53515" w14:paraId="210F6E73" w14:textId="77777777" w:rsidTr="008016DA">
        <w:trPr>
          <w:trHeight w:val="255"/>
        </w:trPr>
        <w:tc>
          <w:tcPr>
            <w:tcW w:w="960" w:type="dxa"/>
            <w:tcBorders>
              <w:top w:val="single" w:sz="4" w:space="0" w:color="auto"/>
              <w:left w:val="single" w:sz="4" w:space="0" w:color="auto"/>
              <w:bottom w:val="single" w:sz="4" w:space="0" w:color="auto"/>
              <w:right w:val="single" w:sz="4" w:space="0" w:color="auto"/>
            </w:tcBorders>
            <w:noWrap/>
            <w:vAlign w:val="bottom"/>
          </w:tcPr>
          <w:p w14:paraId="096C05D3" w14:textId="77777777" w:rsidR="00572BCD" w:rsidRDefault="00572BCD" w:rsidP="008016DA">
            <w:pPr>
              <w:spacing w:after="0" w:line="240" w:lineRule="auto"/>
              <w:jc w:val="center"/>
              <w:rPr>
                <w:rFonts w:eastAsia="Times New Roman" w:cs="Calibri"/>
                <w:sz w:val="20"/>
                <w:szCs w:val="20"/>
                <w:lang w:val="en-US"/>
              </w:rPr>
            </w:pPr>
          </w:p>
        </w:tc>
        <w:tc>
          <w:tcPr>
            <w:tcW w:w="3407" w:type="dxa"/>
            <w:tcBorders>
              <w:top w:val="single" w:sz="4" w:space="0" w:color="auto"/>
              <w:left w:val="nil"/>
              <w:bottom w:val="single" w:sz="4" w:space="0" w:color="auto"/>
              <w:right w:val="single" w:sz="4" w:space="0" w:color="auto"/>
            </w:tcBorders>
            <w:noWrap/>
          </w:tcPr>
          <w:p w14:paraId="10283111" w14:textId="77777777" w:rsidR="00572BCD" w:rsidRDefault="00572BCD" w:rsidP="008016DA">
            <w:pPr>
              <w:spacing w:after="0"/>
              <w:rPr>
                <w:rFonts w:eastAsia="Times New Roman" w:cs="Calibri"/>
                <w:sz w:val="20"/>
                <w:szCs w:val="20"/>
                <w:lang w:val="en-US"/>
              </w:rPr>
            </w:pPr>
          </w:p>
        </w:tc>
        <w:tc>
          <w:tcPr>
            <w:tcW w:w="4291" w:type="dxa"/>
            <w:tcBorders>
              <w:top w:val="single" w:sz="4" w:space="0" w:color="auto"/>
              <w:left w:val="nil"/>
              <w:bottom w:val="single" w:sz="4" w:space="0" w:color="auto"/>
              <w:right w:val="single" w:sz="4" w:space="0" w:color="auto"/>
            </w:tcBorders>
          </w:tcPr>
          <w:p w14:paraId="70EF229A" w14:textId="77777777" w:rsidR="00572BCD" w:rsidRDefault="00572BCD" w:rsidP="008016DA">
            <w:pPr>
              <w:spacing w:after="0"/>
              <w:rPr>
                <w:rFonts w:eastAsia="Times New Roman" w:cs="Calibri"/>
                <w:sz w:val="20"/>
                <w:szCs w:val="20"/>
                <w:lang w:val="en-US"/>
              </w:rPr>
            </w:pPr>
          </w:p>
        </w:tc>
      </w:tr>
    </w:tbl>
    <w:p w14:paraId="1CDB7A68" w14:textId="77777777" w:rsidR="00721228" w:rsidRDefault="00721228"/>
    <w:sectPr w:rsidR="00721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E2A2D"/>
    <w:multiLevelType w:val="hybridMultilevel"/>
    <w:tmpl w:val="DA1AA5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6732EC"/>
    <w:multiLevelType w:val="hybridMultilevel"/>
    <w:tmpl w:val="A4725D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4142034">
    <w:abstractNumId w:val="1"/>
  </w:num>
  <w:num w:numId="2" w16cid:durableId="174129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CD"/>
    <w:rsid w:val="00572BCD"/>
    <w:rsid w:val="00666CB9"/>
    <w:rsid w:val="00721228"/>
    <w:rsid w:val="00F91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BAD8"/>
  <w15:chartTrackingRefBased/>
  <w15:docId w15:val="{CADEA15D-3E67-4764-8A69-6863BB2F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BCD"/>
    <w:pPr>
      <w:spacing w:after="200" w:line="276" w:lineRule="auto"/>
    </w:pPr>
    <w:rPr>
      <w:rFonts w:ascii="Calibri" w:eastAsia="Calibri" w:hAnsi="Calibri" w:cs="Times New Roman"/>
      <w:kern w:val="0"/>
      <w:sz w:val="22"/>
      <w:szCs w:val="22"/>
      <w14:ligatures w14:val="none"/>
    </w:rPr>
  </w:style>
  <w:style w:type="paragraph" w:styleId="Heading1">
    <w:name w:val="heading 1"/>
    <w:aliases w:val="H1,Level1,heading1,h1,Heading,2,Section,Main heading,Heading 10,Header1,level 1,Level 1 Head,tchead,Chapter Heading2,Head,123,Part,section break,Module Name,App1,leve...,II+,I,Head1,Heading apps,H11,H12,H111,H13,H112,1,secti,TCS Heading 1"/>
    <w:basedOn w:val="Normal"/>
    <w:next w:val="Normal"/>
    <w:link w:val="Heading1Char"/>
    <w:qFormat/>
    <w:rsid w:val="00572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TCS Heading 2"/>
    <w:basedOn w:val="Normal"/>
    <w:next w:val="Normal"/>
    <w:link w:val="Heading2Char"/>
    <w:unhideWhenUsed/>
    <w:qFormat/>
    <w:rsid w:val="00572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eading 3 c),H3,3,Proposa,Heading 4 Proposal,Paragraph,Section 1.1.1,Sub2Para,Annotationen,Subhead B,subhead,h3,1.,Use Case Name,3heading,RFP Heading 3,Task,Tsk,RFI H3 (Q),Use Case Name1,Use Case Name2,Use Case Name3,Use Case Name4,Char"/>
    <w:basedOn w:val="Normal"/>
    <w:next w:val="Normal"/>
    <w:link w:val="Heading3Char"/>
    <w:unhideWhenUsed/>
    <w:qFormat/>
    <w:rsid w:val="00572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572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572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572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572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572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572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1 Char,heading1 Char,h1 Char,Heading Char,2 Char,Section Char,Main heading Char,Heading 10 Char,Header1 Char,level 1 Char,Level 1 Head Char,tchead Char,Chapter Heading2 Char,Head Char,123 Char,Part Char,section break Char"/>
    <w:basedOn w:val="DefaultParagraphFont"/>
    <w:link w:val="Heading1"/>
    <w:rsid w:val="00572BCD"/>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TCS Heading 2 Char"/>
    <w:basedOn w:val="DefaultParagraphFont"/>
    <w:link w:val="Heading2"/>
    <w:rsid w:val="00572BCD"/>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eading 3 c) Char,H3 Char,3 Char,Proposa Char,Heading 4 Proposal Char,Paragraph Char,Section 1.1.1 Char,Sub2Para Char,Annotationen Char,Subhead B Char,subhead Char,h3 Char,1. Char,Use Case Name Char,3heading Char,RFP Heading 3 Char"/>
    <w:basedOn w:val="DefaultParagraphFont"/>
    <w:link w:val="Heading3"/>
    <w:rsid w:val="00572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BCD"/>
    <w:rPr>
      <w:rFonts w:eastAsiaTheme="majorEastAsia" w:cstheme="majorBidi"/>
      <w:color w:val="272727" w:themeColor="text1" w:themeTint="D8"/>
    </w:rPr>
  </w:style>
  <w:style w:type="paragraph" w:styleId="Title">
    <w:name w:val="Title"/>
    <w:basedOn w:val="Normal"/>
    <w:next w:val="Normal"/>
    <w:link w:val="TitleChar"/>
    <w:uiPriority w:val="10"/>
    <w:qFormat/>
    <w:rsid w:val="00572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BCD"/>
    <w:pPr>
      <w:spacing w:before="160"/>
      <w:jc w:val="center"/>
    </w:pPr>
    <w:rPr>
      <w:i/>
      <w:iCs/>
      <w:color w:val="404040" w:themeColor="text1" w:themeTint="BF"/>
    </w:rPr>
  </w:style>
  <w:style w:type="character" w:customStyle="1" w:styleId="QuoteChar">
    <w:name w:val="Quote Char"/>
    <w:basedOn w:val="DefaultParagraphFont"/>
    <w:link w:val="Quote"/>
    <w:uiPriority w:val="29"/>
    <w:rsid w:val="00572BCD"/>
    <w:rPr>
      <w:i/>
      <w:iCs/>
      <w:color w:val="404040" w:themeColor="text1" w:themeTint="BF"/>
    </w:rPr>
  </w:style>
  <w:style w:type="paragraph" w:styleId="ListParagraph">
    <w:name w:val="List Paragraph"/>
    <w:basedOn w:val="Normal"/>
    <w:uiPriority w:val="34"/>
    <w:qFormat/>
    <w:rsid w:val="00572BCD"/>
    <w:pPr>
      <w:ind w:left="720"/>
      <w:contextualSpacing/>
    </w:pPr>
  </w:style>
  <w:style w:type="character" w:styleId="IntenseEmphasis">
    <w:name w:val="Intense Emphasis"/>
    <w:basedOn w:val="DefaultParagraphFont"/>
    <w:uiPriority w:val="21"/>
    <w:qFormat/>
    <w:rsid w:val="00572BCD"/>
    <w:rPr>
      <w:i/>
      <w:iCs/>
      <w:color w:val="0F4761" w:themeColor="accent1" w:themeShade="BF"/>
    </w:rPr>
  </w:style>
  <w:style w:type="paragraph" w:styleId="IntenseQuote">
    <w:name w:val="Intense Quote"/>
    <w:basedOn w:val="Normal"/>
    <w:next w:val="Normal"/>
    <w:link w:val="IntenseQuoteChar"/>
    <w:uiPriority w:val="30"/>
    <w:qFormat/>
    <w:rsid w:val="00572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BCD"/>
    <w:rPr>
      <w:i/>
      <w:iCs/>
      <w:color w:val="0F4761" w:themeColor="accent1" w:themeShade="BF"/>
    </w:rPr>
  </w:style>
  <w:style w:type="character" w:styleId="IntenseReference">
    <w:name w:val="Intense Reference"/>
    <w:basedOn w:val="DefaultParagraphFont"/>
    <w:uiPriority w:val="32"/>
    <w:qFormat/>
    <w:rsid w:val="00572BCD"/>
    <w:rPr>
      <w:b/>
      <w:bCs/>
      <w:smallCaps/>
      <w:color w:val="0F4761" w:themeColor="accent1" w:themeShade="BF"/>
      <w:spacing w:val="5"/>
    </w:rPr>
  </w:style>
  <w:style w:type="paragraph" w:styleId="TableofFigures">
    <w:name w:val="table of figures"/>
    <w:basedOn w:val="TOC2"/>
    <w:next w:val="Normal"/>
    <w:uiPriority w:val="99"/>
    <w:rsid w:val="00572BCD"/>
    <w:pPr>
      <w:spacing w:before="120" w:after="0"/>
      <w:ind w:left="288"/>
    </w:pPr>
    <w:rPr>
      <w:rFonts w:asciiTheme="minorHAnsi" w:hAnsiTheme="minorHAnsi"/>
      <w:b/>
      <w:bCs/>
    </w:rPr>
  </w:style>
  <w:style w:type="paragraph" w:customStyle="1" w:styleId="TCSNormal">
    <w:name w:val="TCS Normal"/>
    <w:basedOn w:val="Normal"/>
    <w:link w:val="TCSNormalChar"/>
    <w:qFormat/>
    <w:rsid w:val="00572BCD"/>
    <w:pPr>
      <w:spacing w:after="0" w:line="240" w:lineRule="auto"/>
      <w:ind w:left="567"/>
    </w:pPr>
    <w:rPr>
      <w:rFonts w:ascii="Verdana" w:hAnsi="Verdana"/>
      <w:color w:val="212121"/>
      <w:sz w:val="20"/>
      <w:lang w:val="en-AU"/>
    </w:rPr>
  </w:style>
  <w:style w:type="character" w:customStyle="1" w:styleId="TCSNormalChar">
    <w:name w:val="TCS Normal Char"/>
    <w:link w:val="TCSNormal"/>
    <w:rsid w:val="00572BCD"/>
    <w:rPr>
      <w:rFonts w:ascii="Verdana" w:eastAsia="Calibri" w:hAnsi="Verdana" w:cs="Times New Roman"/>
      <w:color w:val="212121"/>
      <w:kern w:val="0"/>
      <w:sz w:val="20"/>
      <w:szCs w:val="22"/>
      <w:lang w:val="en-AU"/>
      <w14:ligatures w14:val="none"/>
    </w:rPr>
  </w:style>
  <w:style w:type="paragraph" w:styleId="Caption">
    <w:name w:val="caption"/>
    <w:basedOn w:val="Normal"/>
    <w:autoRedefine/>
    <w:qFormat/>
    <w:rsid w:val="00572BCD"/>
    <w:pPr>
      <w:keepNext/>
      <w:keepLines/>
      <w:tabs>
        <w:tab w:val="left" w:pos="1515"/>
        <w:tab w:val="center" w:pos="4693"/>
      </w:tabs>
      <w:spacing w:before="120" w:after="120" w:line="240" w:lineRule="auto"/>
      <w:ind w:left="360"/>
      <w:jc w:val="center"/>
    </w:pPr>
    <w:rPr>
      <w:rFonts w:eastAsia="Helv" w:cs="Calibri"/>
      <w:bCs/>
      <w:i/>
      <w:iCs/>
      <w:color w:val="000000"/>
      <w:sz w:val="20"/>
      <w:szCs w:val="24"/>
      <w:lang w:eastAsia="ar-SA"/>
    </w:rPr>
  </w:style>
  <w:style w:type="paragraph" w:styleId="TOC2">
    <w:name w:val="toc 2"/>
    <w:basedOn w:val="Normal"/>
    <w:next w:val="Normal"/>
    <w:autoRedefine/>
    <w:uiPriority w:val="39"/>
    <w:semiHidden/>
    <w:unhideWhenUsed/>
    <w:rsid w:val="00572B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KVMP</dc:creator>
  <cp:keywords/>
  <dc:description/>
  <cp:lastModifiedBy>Muralidhar KVMP</cp:lastModifiedBy>
  <cp:revision>1</cp:revision>
  <dcterms:created xsi:type="dcterms:W3CDTF">2025-09-24T07:00:00Z</dcterms:created>
  <dcterms:modified xsi:type="dcterms:W3CDTF">2025-09-24T07:04:00Z</dcterms:modified>
</cp:coreProperties>
</file>