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Arquitectura de Software - E-Commerce Konrad</w:t>
      </w:r>
    </w:p>
    <w:p>
      <w:pPr>
        <w:pStyle w:val="Heading1"/>
      </w:pPr>
      <w:r>
        <w:t>Parte 1: Patrones de Diseño Clásicos (GoF)</w:t>
      </w:r>
    </w:p>
    <w:p>
      <w:r>
        <w:t>Patrones Gang of Four (GoF) tradicionales explícitamente diseñados e implementados en el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Patrón GoF</w:t>
            </w:r>
          </w:p>
        </w:tc>
        <w:tc>
          <w:tcPr>
            <w:tcW w:type="dxa" w:w="2880"/>
          </w:tcPr>
          <w:p>
            <w:r>
              <w:t>Archivo clave</w:t>
            </w:r>
          </w:p>
        </w:tc>
        <w:tc>
          <w:tcPr>
            <w:tcW w:type="dxa" w:w="2880"/>
          </w:tcPr>
          <w:p>
            <w:r>
              <w:t>Rol en el código</w:t>
            </w:r>
          </w:p>
        </w:tc>
      </w:tr>
      <w:tr>
        <w:tc>
          <w:tcPr>
            <w:tcW w:type="dxa" w:w="2880"/>
          </w:tcPr>
          <w:p>
            <w:r>
              <w:t>Singleton</w:t>
            </w:r>
          </w:p>
        </w:tc>
        <w:tc>
          <w:tcPr>
            <w:tcW w:type="dxa" w:w="2880"/>
          </w:tcPr>
          <w:p>
            <w:r>
              <w:t>ecommerce_konrad/settings.py</w:t>
            </w:r>
          </w:p>
        </w:tc>
        <w:tc>
          <w:tcPr>
            <w:tcW w:type="dxa" w:w="2880"/>
          </w:tcPr>
          <w:p>
            <w:r>
              <w:t>Única configuración global</w:t>
            </w:r>
          </w:p>
        </w:tc>
      </w:tr>
      <w:tr>
        <w:tc>
          <w:tcPr>
            <w:tcW w:type="dxa" w:w="2880"/>
          </w:tcPr>
          <w:p>
            <w:r>
              <w:t>Adapter</w:t>
            </w:r>
          </w:p>
        </w:tc>
        <w:tc>
          <w:tcPr>
            <w:tcW w:type="dxa" w:w="2880"/>
          </w:tcPr>
          <w:p>
            <w:r>
              <w:t>vendors/views.py</w:t>
            </w:r>
          </w:p>
        </w:tc>
        <w:tc>
          <w:tcPr>
            <w:tcW w:type="dxa" w:w="2880"/>
          </w:tcPr>
          <w:p>
            <w:r>
              <w:t>Traduce respuesta externa a estado interno (APROBADA)</w:t>
            </w:r>
          </w:p>
        </w:tc>
      </w:tr>
      <w:tr>
        <w:tc>
          <w:tcPr>
            <w:tcW w:type="dxa" w:w="2880"/>
          </w:tcPr>
          <w:p>
            <w:r>
              <w:t>Observer</w:t>
            </w:r>
          </w:p>
        </w:tc>
        <w:tc>
          <w:tcPr>
            <w:tcW w:type="dxa" w:w="2880"/>
          </w:tcPr>
          <w:p>
            <w:r>
              <w:t>notifications/signals.py</w:t>
            </w:r>
          </w:p>
        </w:tc>
        <w:tc>
          <w:tcPr>
            <w:tcW w:type="dxa" w:w="2880"/>
          </w:tcPr>
          <w:p>
            <w:r>
              <w:t>Envía correos automáticamente al detectar creación de Solicitud</w:t>
            </w:r>
          </w:p>
        </w:tc>
      </w:tr>
      <w:tr>
        <w:tc>
          <w:tcPr>
            <w:tcW w:type="dxa" w:w="2880"/>
          </w:tcPr>
          <w:p>
            <w:r>
              <w:t>Proxy</w:t>
            </w:r>
          </w:p>
        </w:tc>
        <w:tc>
          <w:tcPr>
            <w:tcW w:type="dxa" w:w="2880"/>
          </w:tcPr>
          <w:p>
            <w:r>
              <w:t>ecommerce_konrad/permissions.py</w:t>
            </w:r>
          </w:p>
        </w:tc>
        <w:tc>
          <w:tcPr>
            <w:tcW w:type="dxa" w:w="2880"/>
          </w:tcPr>
          <w:p>
            <w:r>
              <w:t>Intercepta peticiones e intermediario para validad roles</w:t>
            </w:r>
          </w:p>
        </w:tc>
      </w:tr>
      <w:tr>
        <w:tc>
          <w:tcPr>
            <w:tcW w:type="dxa" w:w="2880"/>
          </w:tcPr>
          <w:p>
            <w:r>
              <w:t>Factory</w:t>
            </w:r>
          </w:p>
        </w:tc>
        <w:tc>
          <w:tcPr>
            <w:tcW w:type="dxa" w:w="2880"/>
          </w:tcPr>
          <w:p>
            <w:r>
              <w:t>products/serializers.py</w:t>
            </w:r>
          </w:p>
        </w:tc>
        <w:tc>
          <w:tcPr>
            <w:tcW w:type="dxa" w:w="2880"/>
          </w:tcPr>
          <w:p>
            <w:r>
              <w:t>Fabrica el JSON encapsulando los modelos ORM de la BD</w:t>
            </w:r>
          </w:p>
        </w:tc>
      </w:tr>
      <w:tr>
        <w:tc>
          <w:tcPr>
            <w:tcW w:type="dxa" w:w="2880"/>
          </w:tcPr>
          <w:p>
            <w:r>
              <w:t>Strategy</w:t>
            </w:r>
          </w:p>
        </w:tc>
        <w:tc>
          <w:tcPr>
            <w:tcW w:type="dxa" w:w="2880"/>
          </w:tcPr>
          <w:p>
            <w:r>
              <w:t>orders/views.py</w:t>
            </w:r>
          </w:p>
        </w:tc>
        <w:tc>
          <w:tcPr>
            <w:tcW w:type="dxa" w:w="2880"/>
          </w:tcPr>
          <w:p>
            <w:r>
              <w:t>Cambia el algoritmo de cálculo de envío (Domicilio / Recoger)</w:t>
            </w:r>
          </w:p>
        </w:tc>
      </w:tr>
    </w:tbl>
    <w:p>
      <w:pPr>
        <w:pStyle w:val="Heading1"/>
      </w:pPr>
      <w:r>
        <w:t>Parte 2: Enterprise Integration Patterns (EIP)</w:t>
      </w:r>
    </w:p>
    <w:p>
      <w:r>
        <w:t>Patrones de Integración de Mensajería basados en el catálogo de Gregor Hohpe.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Patrón de Integración</w:t>
            </w:r>
          </w:p>
        </w:tc>
        <w:tc>
          <w:tcPr>
            <w:tcW w:type="dxa" w:w="2880"/>
          </w:tcPr>
          <w:p>
            <w:r>
              <w:t>Aplicación en el sistema</w:t>
            </w:r>
          </w:p>
        </w:tc>
        <w:tc>
          <w:tcPr>
            <w:tcW w:type="dxa" w:w="2880"/>
          </w:tcPr>
          <w:p>
            <w:r>
              <w:t>Mapeo al catálogo EIP</w:t>
            </w:r>
          </w:p>
        </w:tc>
      </w:tr>
      <w:tr>
        <w:tc>
          <w:tcPr>
            <w:tcW w:type="dxa" w:w="2880"/>
          </w:tcPr>
          <w:p>
            <w:r>
              <w:t xml:space="preserve">Event Message </w:t>
              <w:br/>
              <w:t>(Familia: Message Construct)</w:t>
            </w:r>
          </w:p>
        </w:tc>
        <w:tc>
          <w:tcPr>
            <w:tcW w:type="dxa" w:w="2880"/>
          </w:tcPr>
          <w:p>
            <w:r>
              <w:t>notifications/signals.py</w:t>
            </w:r>
          </w:p>
        </w:tc>
        <w:tc>
          <w:tcPr>
            <w:tcW w:type="dxa" w:w="2880"/>
          </w:tcPr>
          <w:p>
            <w:r>
              <w:t>Ocurre cuando la Solicitud cambia de estado. Un evento se emite para notificar a las partes indicadoras que ha sucedido un cambio en los datos sin acoplar los sistemas.</w:t>
            </w:r>
          </w:p>
        </w:tc>
      </w:tr>
      <w:tr>
        <w:tc>
          <w:tcPr>
            <w:tcW w:type="dxa" w:w="2880"/>
          </w:tcPr>
          <w:p>
            <w:r>
              <w:t xml:space="preserve">Command Message </w:t>
              <w:br/>
              <w:t>(Familia: Message Construct)</w:t>
            </w:r>
          </w:p>
        </w:tc>
        <w:tc>
          <w:tcPr>
            <w:tcW w:type="dxa" w:w="2880"/>
          </w:tcPr>
          <w:p>
            <w:r>
              <w:t>requests y controllers (API REST)</w:t>
            </w:r>
          </w:p>
        </w:tc>
        <w:tc>
          <w:tcPr>
            <w:tcW w:type="dxa" w:w="2880"/>
          </w:tcPr>
          <w:p>
            <w:r>
              <w:t>Las peticiones POST o PATCH provenientes del cliente actúan como comandos que ordenan al backend alterar el estado (ej. checkout, calificación) mediante JSON payloads.</w:t>
            </w:r>
          </w:p>
        </w:tc>
      </w:tr>
      <w:tr>
        <w:tc>
          <w:tcPr>
            <w:tcW w:type="dxa" w:w="2880"/>
          </w:tcPr>
          <w:p>
            <w:r>
              <w:t xml:space="preserve">Content-based Router </w:t>
              <w:br/>
              <w:t>(Familia: Message Routing)</w:t>
            </w:r>
          </w:p>
        </w:tc>
        <w:tc>
          <w:tcPr>
            <w:tcW w:type="dxa" w:w="2880"/>
          </w:tcPr>
          <w:p>
            <w:r>
              <w:t>orders/views.py</w:t>
            </w:r>
          </w:p>
        </w:tc>
        <w:tc>
          <w:tcPr>
            <w:tcW w:type="dxa" w:w="2880"/>
          </w:tcPr>
          <w:p>
            <w:r>
              <w:t>El sistema router inspecciona el contenido de la petición (atributo tipo_entrega: DOMICILIO vs RECOGER) y enruta la ejecución a la lógica de costo aplicable.</w:t>
            </w:r>
          </w:p>
        </w:tc>
      </w:tr>
      <w:tr>
        <w:tc>
          <w:tcPr>
            <w:tcW w:type="dxa" w:w="2880"/>
          </w:tcPr>
          <w:p>
            <w:r>
              <w:t xml:space="preserve">Message Translator </w:t>
              <w:br/>
              <w:t>(Familia: Message Transformation)</w:t>
            </w:r>
          </w:p>
        </w:tc>
        <w:tc>
          <w:tcPr>
            <w:tcW w:type="dxa" w:w="2880"/>
          </w:tcPr>
          <w:p>
            <w:r>
              <w:t>vendors/views.py y external_mocks</w:t>
            </w:r>
          </w:p>
        </w:tc>
        <w:tc>
          <w:tcPr>
            <w:tcW w:type="dxa" w:w="2880"/>
          </w:tcPr>
          <w:p>
            <w:r>
              <w:t>Funciones que traducen y transforman el formato de la respuesta proveída por sistemas externos (CIFIN, Datacredito) a la semántica y modelo canónico interno (Canonical Data Model).</w:t>
            </w:r>
          </w:p>
        </w:tc>
      </w:tr>
      <w:tr>
        <w:tc>
          <w:tcPr>
            <w:tcW w:type="dxa" w:w="2880"/>
          </w:tcPr>
          <w:p>
            <w:r>
              <w:t xml:space="preserve">Publish-Subscribe Channel </w:t>
              <w:br/>
              <w:t>(Familia: Messaging Channels)</w:t>
            </w:r>
          </w:p>
        </w:tc>
        <w:tc>
          <w:tcPr>
            <w:tcW w:type="dxa" w:w="2880"/>
          </w:tcPr>
          <w:p>
            <w:r>
              <w:t>notifications/signals.py</w:t>
            </w:r>
          </w:p>
        </w:tc>
        <w:tc>
          <w:tcPr>
            <w:tcW w:type="dxa" w:w="2880"/>
          </w:tcPr>
          <w:p>
            <w:r>
              <w:t>El bus de eventos de Django envía un evento (Publish) y lo distribuye o realiza cast a todas las funciones suscriptoras anotadas (@receiver).</w:t>
            </w:r>
          </w:p>
        </w:tc>
      </w:tr>
    </w:tbl>
    <w:p>
      <w:pPr>
        <w:pStyle w:val="Heading1"/>
      </w:pPr>
      <w:r>
        <w:t>Parte 3: Patrones Arquitectónicos y de Framework</w:t>
      </w:r>
    </w:p>
    <w:p>
      <w:r>
        <w:t>Patrones adicionales producto del uso de Django y principios de arquitectura.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Arquitectura / Patrón</w:t>
            </w:r>
          </w:p>
        </w:tc>
        <w:tc>
          <w:tcPr>
            <w:tcW w:type="dxa" w:w="2880"/>
          </w:tcPr>
          <w:p>
            <w:r>
              <w:t>Aplicación</w:t>
            </w:r>
          </w:p>
        </w:tc>
        <w:tc>
          <w:tcPr>
            <w:tcW w:type="dxa" w:w="2880"/>
          </w:tcPr>
          <w:p>
            <w:r>
              <w:t>Explicación técnica</w:t>
            </w:r>
          </w:p>
        </w:tc>
      </w:tr>
      <w:tr>
        <w:tc>
          <w:tcPr>
            <w:tcW w:type="dxa" w:w="2880"/>
          </w:tcPr>
          <w:p>
            <w:r>
              <w:t>CQRS</w:t>
            </w:r>
          </w:p>
        </w:tc>
        <w:tc>
          <w:tcPr>
            <w:tcW w:type="dxa" w:w="2880"/>
          </w:tcPr>
          <w:p>
            <w:r>
              <w:t>bam/views.py</w:t>
            </w:r>
          </w:p>
        </w:tc>
        <w:tc>
          <w:tcPr>
            <w:tcW w:type="dxa" w:w="2880"/>
          </w:tcPr>
          <w:p>
            <w:r>
              <w:t>Separa modelos y endpoints de lectura (tablero BAM) de las rutinas de escritura (Órdenes).</w:t>
            </w:r>
          </w:p>
        </w:tc>
      </w:tr>
      <w:tr>
        <w:tc>
          <w:tcPr>
            <w:tcW w:type="dxa" w:w="2880"/>
          </w:tcPr>
          <w:p>
            <w:r>
              <w:t>MVC / MTV</w:t>
            </w:r>
          </w:p>
        </w:tc>
        <w:tc>
          <w:tcPr>
            <w:tcW w:type="dxa" w:w="2880"/>
          </w:tcPr>
          <w:p>
            <w:r>
              <w:t>models.py, views.py, serializers</w:t>
            </w:r>
          </w:p>
        </w:tc>
        <w:tc>
          <w:tcPr>
            <w:tcW w:type="dxa" w:w="2880"/>
          </w:tcPr>
          <w:p>
            <w:r>
              <w:t>Arquitectura macro que separa la capa de datos (M), la lógica vista (V) y el modelo visual (T/S).</w:t>
            </w:r>
          </w:p>
        </w:tc>
      </w:tr>
      <w:tr>
        <w:tc>
          <w:tcPr>
            <w:tcW w:type="dxa" w:w="2880"/>
          </w:tcPr>
          <w:p>
            <w:r>
              <w:t>Active Record</w:t>
            </w:r>
          </w:p>
        </w:tc>
        <w:tc>
          <w:tcPr>
            <w:tcW w:type="dxa" w:w="2880"/>
          </w:tcPr>
          <w:p>
            <w:r>
              <w:t>models.py</w:t>
            </w:r>
          </w:p>
        </w:tc>
        <w:tc>
          <w:tcPr>
            <w:tcW w:type="dxa" w:w="2880"/>
          </w:tcPr>
          <w:p>
            <w:r>
              <w:t>El objeto almacena sus propios datos y conlleva en sí mismo su propia lógica de persistencia (ORM).</w:t>
            </w:r>
          </w:p>
        </w:tc>
      </w:tr>
      <w:tr>
        <w:tc>
          <w:tcPr>
            <w:tcW w:type="dxa" w:w="2880"/>
          </w:tcPr>
          <w:p>
            <w:r>
              <w:t>Decorator</w:t>
            </w:r>
          </w:p>
        </w:tc>
        <w:tc>
          <w:tcPr>
            <w:tcW w:type="dxa" w:w="2880"/>
          </w:tcPr>
          <w:p>
            <w:r>
              <w:t>views.py y signals.py</w:t>
            </w:r>
          </w:p>
        </w:tc>
        <w:tc>
          <w:tcPr>
            <w:tcW w:type="dxa" w:w="2880"/>
          </w:tcPr>
          <w:p>
            <w:r>
              <w:t>Envoltura de función en Python para anexar comportamiento dinámico sin modificar código (@action).</w:t>
            </w:r>
          </w:p>
        </w:tc>
      </w:tr>
      <w:tr>
        <w:tc>
          <w:tcPr>
            <w:tcW w:type="dxa" w:w="2880"/>
          </w:tcPr>
          <w:p>
            <w:r>
              <w:t>Middleware (Chain of Resp.)</w:t>
            </w:r>
          </w:p>
        </w:tc>
        <w:tc>
          <w:tcPr>
            <w:tcW w:type="dxa" w:w="2880"/>
          </w:tcPr>
          <w:p>
            <w:r>
              <w:t>ecommerce_konrad/settings.py</w:t>
            </w:r>
          </w:p>
        </w:tc>
        <w:tc>
          <w:tcPr>
            <w:tcW w:type="dxa" w:w="2880"/>
          </w:tcPr>
          <w:p>
            <w:r>
              <w:t>Cadena de filtros de solicitud para validar JWT / CORS a lo ancho del proyecto globalmente.</w:t>
            </w:r>
          </w:p>
        </w:tc>
      </w:tr>
    </w:tbl>
    <w:p>
      <w:pPr>
        <w:pStyle w:val="Heading1"/>
      </w:pPr>
      <w:r>
        <w:t>Parte 4: Cumplimiento ISO/IEC 9126-1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Características (ISO 9126)</w:t>
            </w:r>
          </w:p>
        </w:tc>
        <w:tc>
          <w:tcPr>
            <w:tcW w:type="dxa" w:w="4320"/>
          </w:tcPr>
          <w:p>
            <w:r>
              <w:t>Mapeo o Evidencia Documental</w:t>
            </w:r>
          </w:p>
        </w:tc>
      </w:tr>
      <w:tr>
        <w:tc>
          <w:tcPr>
            <w:tcW w:type="dxa" w:w="4320"/>
          </w:tcPr>
          <w:p>
            <w:r>
              <w:t>Funcionalidad</w:t>
            </w:r>
          </w:p>
        </w:tc>
        <w:tc>
          <w:tcPr>
            <w:tcW w:type="dxa" w:w="4320"/>
          </w:tcPr>
          <w:p>
            <w:r>
              <w:t>Adecuación, Exactitud, Interoperabilidad, Seguridad (JWT, Proxy)</w:t>
            </w:r>
          </w:p>
        </w:tc>
      </w:tr>
      <w:tr>
        <w:tc>
          <w:tcPr>
            <w:tcW w:type="dxa" w:w="4320"/>
          </w:tcPr>
          <w:p>
            <w:r>
              <w:t>Confiabilidad</w:t>
            </w:r>
          </w:p>
        </w:tc>
        <w:tc>
          <w:tcPr>
            <w:tcW w:type="dxa" w:w="4320"/>
          </w:tcPr>
          <w:p>
            <w:r>
              <w:t>Madurez (transaction.atomic), Tolerancia a fallos, Recuperabilidad (Log Auditoria)</w:t>
            </w:r>
          </w:p>
        </w:tc>
      </w:tr>
      <w:tr>
        <w:tc>
          <w:tcPr>
            <w:tcW w:type="dxa" w:w="4320"/>
          </w:tcPr>
          <w:p>
            <w:r>
              <w:t>Usabilidad</w:t>
            </w:r>
          </w:p>
        </w:tc>
        <w:tc>
          <w:tcPr>
            <w:tcW w:type="dxa" w:w="4320"/>
          </w:tcPr>
          <w:p>
            <w:r>
              <w:t>Comprensibilidad, Operabilidad (Rutas públicas)</w:t>
            </w:r>
          </w:p>
        </w:tc>
      </w:tr>
      <w:tr>
        <w:tc>
          <w:tcPr>
            <w:tcW w:type="dxa" w:w="4320"/>
          </w:tcPr>
          <w:p>
            <w:r>
              <w:t>Eficiencia</w:t>
            </w:r>
          </w:p>
        </w:tc>
        <w:tc>
          <w:tcPr>
            <w:tcW w:type="dxa" w:w="4320"/>
          </w:tcPr>
          <w:p>
            <w:r>
              <w:t>Tiempos cortos (CQRS / Limit 1 en Database), Uso de recursos (Apps separadas)</w:t>
            </w:r>
          </w:p>
        </w:tc>
      </w:tr>
      <w:tr>
        <w:tc>
          <w:tcPr>
            <w:tcW w:type="dxa" w:w="4320"/>
          </w:tcPr>
          <w:p>
            <w:r>
              <w:t>Mantenibilidad</w:t>
            </w:r>
          </w:p>
        </w:tc>
        <w:tc>
          <w:tcPr>
            <w:tcW w:type="dxa" w:w="4320"/>
          </w:tcPr>
          <w:p>
            <w:r>
              <w:t>Analizabilidad (Logs JSON), Cambiabilidad, Estabilidad, Testeabilidad (Mocks)</w:t>
            </w:r>
          </w:p>
        </w:tc>
      </w:tr>
      <w:tr>
        <w:tc>
          <w:tcPr>
            <w:tcW w:type="dxa" w:w="4320"/>
          </w:tcPr>
          <w:p>
            <w:r>
              <w:t>Portabilidad</w:t>
            </w:r>
          </w:p>
        </w:tc>
        <w:tc>
          <w:tcPr>
            <w:tcW w:type="dxa" w:w="4320"/>
          </w:tcPr>
          <w:p>
            <w:r>
              <w:t>Adaptabilidad (.env, sin variables hardcodeadas), Co-existencia (CORS y API v1)</w:t>
            </w:r>
          </w:p>
        </w:tc>
      </w:tr>
      <w:tr>
        <w:tc>
          <w:tcPr>
            <w:tcW w:type="dxa" w:w="4320"/>
          </w:tcPr>
          <w:p>
            <w:r>
              <w:t>Calidad en Uso</w:t>
            </w:r>
          </w:p>
        </w:tc>
        <w:tc>
          <w:tcPr>
            <w:tcW w:type="dxa" w:w="4320"/>
          </w:tcPr>
          <w:p>
            <w:r>
              <w:t>Efectividad (100% de los requerimientos base), Seguridad íntegra, Productividad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