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034" w:rsidRDefault="009F5034" w:rsidP="009F5034">
      <w:pPr>
        <w:pStyle w:val="papertitle"/>
      </w:pPr>
      <w:r>
        <w:t>Exploration of primary glioblastoma Single-cell RNA-</w:t>
      </w:r>
      <w:proofErr w:type="spellStart"/>
      <w:r>
        <w:t>seq</w:t>
      </w:r>
      <w:proofErr w:type="spellEnd"/>
      <w:r>
        <w:t xml:space="preserve"> co-expression networks</w:t>
      </w:r>
    </w:p>
    <w:p w:rsidR="009F5034" w:rsidRDefault="009F5034" w:rsidP="001C6EF7">
      <w:pPr>
        <w:pStyle w:val="author"/>
      </w:pPr>
      <w:r>
        <w:t xml:space="preserve">Brian Arand, </w:t>
      </w:r>
      <w:proofErr w:type="spellStart"/>
      <w:r>
        <w:t>Raghu</w:t>
      </w:r>
      <w:proofErr w:type="spellEnd"/>
      <w:r>
        <w:t xml:space="preserve"> </w:t>
      </w:r>
      <w:proofErr w:type="spellStart"/>
      <w:r>
        <w:t>Machiraju</w:t>
      </w:r>
      <w:proofErr w:type="spellEnd"/>
      <w:r>
        <w:t>,</w:t>
      </w:r>
      <w:r w:rsidRPr="0041204E">
        <w:t xml:space="preserve"> </w:t>
      </w:r>
      <w:r>
        <w:t>Kun H</w:t>
      </w:r>
      <w:r w:rsidR="001C6EF7">
        <w:t>u</w:t>
      </w:r>
      <w:r>
        <w:t>ang</w:t>
      </w:r>
    </w:p>
    <w:p w:rsidR="009F5034" w:rsidRPr="005F3CD7" w:rsidRDefault="001C6EF7" w:rsidP="001C6EF7">
      <w:pPr>
        <w:pStyle w:val="abstract"/>
        <w:ind w:firstLine="0"/>
      </w:pPr>
      <w:r>
        <w:rPr>
          <w:b/>
        </w:rPr>
        <w:t>Abstract.</w:t>
      </w:r>
      <w:r>
        <w:t xml:space="preserve"> </w:t>
      </w:r>
      <w:r w:rsidR="002E523D">
        <w:t xml:space="preserve"> </w:t>
      </w:r>
    </w:p>
    <w:p w:rsidR="009F5034" w:rsidRDefault="009F5034" w:rsidP="009F5034">
      <w:pPr>
        <w:pStyle w:val="heading1"/>
        <w:numPr>
          <w:ilvl w:val="0"/>
          <w:numId w:val="4"/>
        </w:numPr>
      </w:pPr>
      <w:r>
        <w:t>Introduction</w:t>
      </w:r>
    </w:p>
    <w:p w:rsidR="009F5034" w:rsidRDefault="009F5034" w:rsidP="009F5034">
      <w:r>
        <w:t>The isolation of individual cells’ transcriptome profiles has been largely a theoret</w:t>
      </w:r>
      <w:r>
        <w:t>i</w:t>
      </w:r>
      <w:r>
        <w:t xml:space="preserve">cal concept to </w:t>
      </w:r>
      <w:proofErr w:type="spellStart"/>
      <w:r w:rsidR="00430B0F">
        <w:t>bioinformaticians</w:t>
      </w:r>
      <w:proofErr w:type="spellEnd"/>
      <w:r>
        <w:t>. And accordingly, transcriptomic inquiry has been limited to those questions regarding tissues— potentially composed of a heterogen</w:t>
      </w:r>
      <w:r>
        <w:t>e</w:t>
      </w:r>
      <w:r>
        <w:t>ous hodgepodge of cellular types, subtypes, and states. But with the advent of Single-Cell RNA sequencing (RNASeq) technology, comes the potential for refined resol</w:t>
      </w:r>
      <w:r>
        <w:t>u</w:t>
      </w:r>
      <w:r>
        <w:t>tion in transcriptomic datasets. And expectedly, recent publications suggest a peaking interest in this new landscape of informatics. It has been shown that many bioinfo</w:t>
      </w:r>
      <w:r>
        <w:t>r</w:t>
      </w:r>
      <w:r>
        <w:t>matics techniques that were developed for population-cell tissue samples can be effe</w:t>
      </w:r>
      <w:r>
        <w:t>c</w:t>
      </w:r>
      <w:r>
        <w:t xml:space="preserve">tively applied to single-cellular datasets. However, co-expression network analysis has </w:t>
      </w:r>
      <w:r w:rsidR="004A78E3">
        <w:t xml:space="preserve">largely </w:t>
      </w:r>
      <w:r>
        <w:t>been a</w:t>
      </w:r>
      <w:r w:rsidR="004A78E3">
        <w:t>n</w:t>
      </w:r>
      <w:r>
        <w:t xml:space="preserve"> unexplored area of analysis in regards to single-cell RNASeq data. To fill this gap, we leverage this new technology to construct and analyze gene co-expression networks for primary glioblastoma single-cell samples. Glioblastoma is widely known </w:t>
      </w:r>
      <w:r w:rsidR="004A78E3">
        <w:t>to be</w:t>
      </w:r>
      <w:r>
        <w:t xml:space="preserve"> a heterogeneous cancer</w:t>
      </w:r>
      <w:r w:rsidR="004A78E3">
        <w:t>,</w:t>
      </w:r>
      <w:r>
        <w:t xml:space="preserve"> making it a </w:t>
      </w:r>
      <w:r w:rsidR="004A78E3">
        <w:t xml:space="preserve">prime </w:t>
      </w:r>
      <w:r>
        <w:t xml:space="preserve">candidate for single-cellular inquiries. </w:t>
      </w:r>
      <w:r w:rsidR="004A78E3">
        <w:t>For instance, i</w:t>
      </w:r>
      <w:r>
        <w:t>t is hypothesized that the averaging of single-cells’ profiles within a tissue sample may mask or otherwise confound downstream gene correlations based analysis.  </w:t>
      </w:r>
      <w:r w:rsidR="004A78E3">
        <w:t xml:space="preserve">Correlation between two genes may exist across tissue samples </w:t>
      </w:r>
      <w:r w:rsidR="00303C89">
        <w:t xml:space="preserve">purely </w:t>
      </w:r>
      <w:r w:rsidR="004A78E3">
        <w:t xml:space="preserve">due to changing proportion of cellular subtypes within those samples. However, a single-cellular perspective, </w:t>
      </w:r>
      <w:r w:rsidR="00303C89">
        <w:t>of the same tumors may theoretically filter out those</w:t>
      </w:r>
      <w:r w:rsidR="004A78E3">
        <w:t xml:space="preserve"> artificial tissue-level </w:t>
      </w:r>
      <w:r w:rsidR="00303C89">
        <w:t xml:space="preserve">correlations. And so correlation based analysis, like co-expression network analysis, require study. </w:t>
      </w:r>
      <w:r>
        <w:t>In our work</w:t>
      </w:r>
      <w:r w:rsidR="00303C89">
        <w:t>,</w:t>
      </w:r>
      <w:r>
        <w:t xml:space="preserve"> we </w:t>
      </w:r>
      <w:r w:rsidR="00303C89">
        <w:t>begin this journey by looking at</w:t>
      </w:r>
      <w:r>
        <w:t xml:space="preserve"> network min</w:t>
      </w:r>
      <w:r w:rsidR="00303C89">
        <w:t xml:space="preserve">ing, </w:t>
      </w:r>
      <w:r>
        <w:t>module detection, and gene enrichment analysis</w:t>
      </w:r>
      <w:r w:rsidR="002E523D">
        <w:t xml:space="preserve"> a</w:t>
      </w:r>
      <w:r w:rsidR="00303C89">
        <w:t>t both the single-cell and population of cell (tissue sample) levels</w:t>
      </w:r>
      <w:r>
        <w:t>. The final goal of this work is to shed light on the convoluted intricacies of inter-cellular genomic landscape of glioblastoma tissue from a single-cellular perspective.</w:t>
      </w:r>
    </w:p>
    <w:p w:rsidR="009F5034" w:rsidRDefault="009F5034" w:rsidP="009F5034">
      <w:pPr>
        <w:pStyle w:val="heading1"/>
        <w:numPr>
          <w:ilvl w:val="0"/>
          <w:numId w:val="4"/>
        </w:numPr>
      </w:pPr>
      <w:r>
        <w:t>Methods</w:t>
      </w:r>
    </w:p>
    <w:p w:rsidR="004A3E57" w:rsidRPr="004A3E57" w:rsidRDefault="00B81038" w:rsidP="004A3E57">
      <w:pPr>
        <w:pStyle w:val="heading2"/>
        <w:spacing w:before="0"/>
      </w:pPr>
      <w:r>
        <w:t xml:space="preserve">Single-Cell RNASeq Samples </w:t>
      </w:r>
    </w:p>
    <w:p w:rsidR="009F5034" w:rsidRPr="00395FCD" w:rsidRDefault="009F5034" w:rsidP="000E1B4F">
      <w:pPr>
        <w:rPr>
          <w:lang w:eastAsia="en-US"/>
        </w:rPr>
      </w:pPr>
      <w:r>
        <w:t xml:space="preserve">We </w:t>
      </w:r>
      <w:r w:rsidR="00B81038">
        <w:t>analyzed</w:t>
      </w:r>
      <w:r>
        <w:t xml:space="preserve"> </w:t>
      </w:r>
      <w:r w:rsidR="00B81038">
        <w:t>GS</w:t>
      </w:r>
      <w:r w:rsidR="00B81038" w:rsidRPr="004A3E57">
        <w:t>E57872</w:t>
      </w:r>
      <w:r w:rsidR="00B81038">
        <w:t xml:space="preserve">: </w:t>
      </w:r>
      <w:r>
        <w:t xml:space="preserve">the data presented </w:t>
      </w:r>
      <w:r w:rsidRPr="00707B97">
        <w:t>by Patel et al.</w:t>
      </w:r>
      <w:r w:rsidR="00707B97" w:rsidRPr="00707B97">
        <w:t xml:space="preserve"> </w:t>
      </w:r>
      <w:r w:rsidRPr="00707B97">
        <w:t>in Single-cell RNA-</w:t>
      </w:r>
      <w:proofErr w:type="spellStart"/>
      <w:r w:rsidRPr="00707B97">
        <w:t>seq</w:t>
      </w:r>
      <w:proofErr w:type="spellEnd"/>
      <w:r w:rsidRPr="00707B97">
        <w:t xml:space="preserve"> highlights </w:t>
      </w:r>
      <w:proofErr w:type="spellStart"/>
      <w:r w:rsidRPr="00707B97">
        <w:t>intratumoral</w:t>
      </w:r>
      <w:proofErr w:type="spellEnd"/>
      <w:r w:rsidRPr="00707B97">
        <w:t xml:space="preserve"> heterogeneity in primary glioblastoma</w:t>
      </w:r>
      <w:r w:rsidR="00395FCD">
        <w:t xml:space="preserve"> </w:t>
      </w:r>
      <w:sdt>
        <w:sdtPr>
          <w:id w:val="679169"/>
          <w:citation/>
        </w:sdtPr>
        <w:sdtContent>
          <w:fldSimple w:instr=" CITATION Patel2014 \l 1033 ">
            <w:r w:rsidR="00395FCD">
              <w:rPr>
                <w:noProof/>
              </w:rPr>
              <w:t>(Patel, et al., 2014)</w:t>
            </w:r>
          </w:fldSimple>
        </w:sdtContent>
      </w:sdt>
      <w:r>
        <w:t xml:space="preserve">. This data is comprised of normalized gene expression values </w:t>
      </w:r>
      <w:r w:rsidRPr="00707B97">
        <w:t xml:space="preserve">for 5,948 genes for 430 </w:t>
      </w:r>
      <w:r w:rsidRPr="00707B97">
        <w:lastRenderedPageBreak/>
        <w:t xml:space="preserve">single-cell samples selected by flow </w:t>
      </w:r>
      <w:proofErr w:type="spellStart"/>
      <w:r w:rsidRPr="00707B97">
        <w:t>cytometry</w:t>
      </w:r>
      <w:proofErr w:type="spellEnd"/>
      <w:r w:rsidRPr="00707B97">
        <w:t xml:space="preserve"> cell sorting and micromanipulation from 5 different primary </w:t>
      </w:r>
      <w:proofErr w:type="spellStart"/>
      <w:r w:rsidRPr="00707B97">
        <w:t>glioblastomas</w:t>
      </w:r>
      <w:proofErr w:type="spellEnd"/>
      <w:r w:rsidRPr="00707B97">
        <w:t xml:space="preserve"> labeled: MGH26, MGH28,</w:t>
      </w:r>
      <w:r>
        <w:t xml:space="preserve"> MGH29, MGH30, and MGH31. The cells were then sequenced using </w:t>
      </w:r>
      <w:proofErr w:type="spellStart"/>
      <w:r w:rsidRPr="00387D30">
        <w:t>SMARTseq</w:t>
      </w:r>
      <w:proofErr w:type="spellEnd"/>
      <w:r>
        <w:t xml:space="preserve"> protocol </w:t>
      </w:r>
      <w:sdt>
        <w:sdtPr>
          <w:id w:val="679204"/>
          <w:citation/>
        </w:sdtPr>
        <w:sdtContent>
          <w:fldSimple w:instr=" CITATION Ramskold2012 \l 1033 ">
            <w:r w:rsidR="00387D30">
              <w:rPr>
                <w:noProof/>
              </w:rPr>
              <w:t>(Ramskold, et al., 2012)</w:t>
            </w:r>
          </w:fldSimple>
        </w:sdtContent>
      </w:sdt>
      <w:r>
        <w:t xml:space="preserve">. Alignment to hg19 was performed </w:t>
      </w:r>
      <w:r w:rsidRPr="001E7AA0">
        <w:t>with Bowtie (version 1.</w:t>
      </w:r>
      <w:r w:rsidR="001E7AA0">
        <w:t>1</w:t>
      </w:r>
      <w:r w:rsidRPr="001E7AA0">
        <w:t xml:space="preserve">.1) </w:t>
      </w:r>
      <w:sdt>
        <w:sdtPr>
          <w:id w:val="679170"/>
          <w:citation/>
        </w:sdtPr>
        <w:sdtContent>
          <w:fldSimple w:instr=" CITATION Langmead2009 \l 1033 ">
            <w:r w:rsidR="00395FCD">
              <w:rPr>
                <w:noProof/>
              </w:rPr>
              <w:t>(Langmead, Trapnell, Pop, &amp; Salzberg, 2009)</w:t>
            </w:r>
          </w:fldSimple>
        </w:sdtContent>
      </w:sdt>
      <w:r w:rsidR="001E7AA0" w:rsidRPr="001E7AA0">
        <w:t xml:space="preserve"> </w:t>
      </w:r>
      <w:r w:rsidRPr="001E7AA0">
        <w:t>and the authors calculated TPM (tra</w:t>
      </w:r>
      <w:r w:rsidRPr="001E7AA0">
        <w:t>n</w:t>
      </w:r>
      <w:r w:rsidRPr="001E7AA0">
        <w:t xml:space="preserve">scripts per million) values using RSEM (version 1.2.3) </w:t>
      </w:r>
      <w:sdt>
        <w:sdtPr>
          <w:id w:val="679171"/>
          <w:citation/>
        </w:sdtPr>
        <w:sdtContent>
          <w:fldSimple w:instr=" CITATION Li2011 \l 1033 ">
            <w:r w:rsidR="00395FCD">
              <w:rPr>
                <w:noProof/>
              </w:rPr>
              <w:t>(Li &amp; Dewey, 2011)</w:t>
            </w:r>
          </w:fldSimple>
        </w:sdtContent>
      </w:sdt>
      <w:r w:rsidRPr="001E7AA0">
        <w:t>.</w:t>
      </w:r>
      <w:r>
        <w:t>The final reported values were log-transformed and mean-shifted per gene. More formally</w:t>
      </w:r>
      <w:r w:rsidRPr="00395FCD">
        <w:t xml:space="preserve">, </w:t>
      </w:r>
      <w:r w:rsidRPr="00395FCD">
        <w:rPr>
          <w:lang w:eastAsia="en-US"/>
        </w:rPr>
        <w:t xml:space="preserve">let </w:t>
      </w:r>
      <w:proofErr w:type="spellStart"/>
      <w:r w:rsidRPr="00395FCD">
        <w:rPr>
          <w:i/>
          <w:lang w:eastAsia="en-US"/>
        </w:rPr>
        <w:t>x</w:t>
      </w:r>
      <w:r w:rsidRPr="00395FCD">
        <w:rPr>
          <w:i/>
          <w:vertAlign w:val="subscript"/>
          <w:lang w:eastAsia="en-US"/>
        </w:rPr>
        <w:t>si</w:t>
      </w:r>
      <w:proofErr w:type="spellEnd"/>
      <w:r w:rsidRPr="00395FCD">
        <w:rPr>
          <w:vertAlign w:val="subscript"/>
          <w:lang w:eastAsia="en-US"/>
        </w:rPr>
        <w:t xml:space="preserve"> </w:t>
      </w:r>
      <w:r w:rsidRPr="00395FCD">
        <w:rPr>
          <w:lang w:eastAsia="en-US"/>
        </w:rPr>
        <w:t xml:space="preserve">be the TPM enrichment value for the </w:t>
      </w:r>
      <w:proofErr w:type="spellStart"/>
      <w:r w:rsidRPr="00395FCD">
        <w:rPr>
          <w:i/>
          <w:lang w:eastAsia="en-US"/>
        </w:rPr>
        <w:t>i</w:t>
      </w:r>
      <w:r w:rsidRPr="00395FCD">
        <w:rPr>
          <w:vertAlign w:val="superscript"/>
          <w:lang w:eastAsia="en-US"/>
        </w:rPr>
        <w:t>th</w:t>
      </w:r>
      <w:proofErr w:type="spellEnd"/>
      <w:r w:rsidRPr="00395FCD">
        <w:rPr>
          <w:lang w:eastAsia="en-US"/>
        </w:rPr>
        <w:t xml:space="preserve"> gene</w:t>
      </w:r>
      <w:r w:rsidRPr="00395FCD">
        <w:rPr>
          <w:i/>
          <w:lang w:eastAsia="en-US"/>
        </w:rPr>
        <w:t xml:space="preserve"> </w:t>
      </w:r>
      <w:r w:rsidRPr="00395FCD">
        <w:rPr>
          <w:lang w:eastAsia="en-US"/>
        </w:rPr>
        <w:t xml:space="preserve">of sample </w:t>
      </w:r>
      <w:r w:rsidRPr="00395FCD">
        <w:rPr>
          <w:i/>
          <w:lang w:eastAsia="en-US"/>
        </w:rPr>
        <w:t>s</w:t>
      </w:r>
      <w:r w:rsidRPr="00395FCD">
        <w:rPr>
          <w:lang w:eastAsia="en-US"/>
        </w:rPr>
        <w:t xml:space="preserve">. </w:t>
      </w:r>
      <w:r w:rsidR="000E1B4F" w:rsidRPr="00395FCD">
        <w:rPr>
          <w:lang w:eastAsia="en-US"/>
        </w:rPr>
        <w:t xml:space="preserve">And let </w:t>
      </w:r>
      <w:proofErr w:type="spellStart"/>
      <w:r w:rsidR="000E1B4F" w:rsidRPr="00395FCD">
        <w:rPr>
          <w:i/>
        </w:rPr>
        <w:t>Nt</w:t>
      </w:r>
      <w:proofErr w:type="spellEnd"/>
      <w:r w:rsidR="000E1B4F" w:rsidRPr="00395FCD">
        <w:t xml:space="preserve"> be the sample size of tumor</w:t>
      </w:r>
      <w:r w:rsidR="000E1B4F" w:rsidRPr="00395FCD">
        <w:rPr>
          <w:i/>
        </w:rPr>
        <w:t xml:space="preserve"> t</w:t>
      </w:r>
      <w:r w:rsidR="000E1B4F" w:rsidRPr="00395FCD">
        <w:t xml:space="preserve">, </w:t>
      </w:r>
      <w:r w:rsidR="000E1B4F" w:rsidRPr="00395FCD">
        <w:rPr>
          <w:lang w:eastAsia="en-US"/>
        </w:rPr>
        <w:t xml:space="preserve">then </w:t>
      </w:r>
      <w:r w:rsidRPr="00395FCD">
        <w:rPr>
          <w:lang w:eastAsia="en-US"/>
        </w:rPr>
        <w:t>the analogous, final reported value</w:t>
      </w:r>
      <w:r w:rsidR="004A3E57" w:rsidRPr="00395FCD">
        <w:rPr>
          <w:lang w:eastAsia="en-US"/>
        </w:rPr>
        <w:t>,</w:t>
      </w:r>
      <w:r w:rsidRPr="00395FCD">
        <w:rPr>
          <w:lang w:eastAsia="en-US"/>
        </w:rPr>
        <w:t xml:space="preserve"> </w:t>
      </w:r>
      <w:proofErr w:type="spellStart"/>
      <w:proofErr w:type="gramStart"/>
      <w:r w:rsidR="004A3E57" w:rsidRPr="00395FCD">
        <w:rPr>
          <w:i/>
          <w:lang w:eastAsia="en-US"/>
        </w:rPr>
        <w:t>y</w:t>
      </w:r>
      <w:r w:rsidR="004A3E57" w:rsidRPr="00395FCD">
        <w:rPr>
          <w:i/>
          <w:vertAlign w:val="subscript"/>
          <w:lang w:eastAsia="en-US"/>
        </w:rPr>
        <w:t>si</w:t>
      </w:r>
      <w:proofErr w:type="spellEnd"/>
      <w:r w:rsidR="004A3E57" w:rsidRPr="00395FCD">
        <w:rPr>
          <w:vertAlign w:val="subscript"/>
          <w:lang w:eastAsia="en-US"/>
        </w:rPr>
        <w:t xml:space="preserve"> </w:t>
      </w:r>
      <w:r w:rsidR="004A3E57" w:rsidRPr="00395FCD">
        <w:rPr>
          <w:lang w:eastAsia="en-US"/>
        </w:rPr>
        <w:t>,</w:t>
      </w:r>
      <w:proofErr w:type="gramEnd"/>
      <w:r w:rsidR="00D75E3A" w:rsidRPr="00395FCD">
        <w:rPr>
          <w:lang w:eastAsia="en-US"/>
        </w:rPr>
        <w:t xml:space="preserve"> </w:t>
      </w:r>
      <w:r w:rsidRPr="00395FCD">
        <w:rPr>
          <w:lang w:eastAsia="en-US"/>
        </w:rPr>
        <w:t>would be</w:t>
      </w:r>
      <w:r w:rsidR="004A3E57" w:rsidRPr="00395FCD">
        <w:rPr>
          <w:lang w:eastAsia="en-US"/>
        </w:rPr>
        <w:t>:</w:t>
      </w:r>
      <w:r w:rsidRPr="00395FCD">
        <w:rPr>
          <w:lang w:eastAsia="en-US"/>
        </w:rPr>
        <w:t xml:space="preserve"> </w:t>
      </w:r>
    </w:p>
    <w:p w:rsidR="009F5034" w:rsidRDefault="00FF0E93" w:rsidP="00BC745E">
      <w:pPr>
        <w:pStyle w:val="equation"/>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iCs/>
                </w:rPr>
              </m:ctrlPr>
            </m:fPr>
            <m:num>
              <m:nary>
                <m:naryPr>
                  <m:chr m:val="∑"/>
                  <m:limLoc m:val="undOvr"/>
                  <m:supHide m:val="on"/>
                  <m:ctrlPr>
                    <w:rPr>
                      <w:rFonts w:ascii="Cambria Math" w:hAnsi="Cambria Math"/>
                      <w:i/>
                      <w:iCs/>
                    </w:rPr>
                  </m:ctrlPr>
                </m:naryPr>
                <m:sub>
                  <m:r>
                    <w:rPr>
                      <w:rFonts w:ascii="Cambria Math" w:hAnsi="Cambria Math"/>
                    </w:rPr>
                    <m:t>s</m:t>
                  </m: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si</m:t>
                              </m:r>
                            </m:sub>
                          </m:sSub>
                          <m:r>
                            <w:rPr>
                              <w:rFonts w:ascii="Cambria Math" w:hAnsi="Cambria Math"/>
                            </w:rPr>
                            <m:t>+1</m:t>
                          </m:r>
                        </m:e>
                      </m:d>
                    </m:e>
                  </m:func>
                </m:e>
              </m:nary>
            </m:num>
            <m:den>
              <m:sSub>
                <m:sSubPr>
                  <m:ctrlPr>
                    <w:rPr>
                      <w:rFonts w:ascii="Cambria Math" w:hAnsi="Cambria Math"/>
                      <w:i/>
                      <w:iCs/>
                    </w:rPr>
                  </m:ctrlPr>
                </m:sSubPr>
                <m:e>
                  <m:r>
                    <w:rPr>
                      <w:rFonts w:ascii="Cambria Math" w:hAnsi="Cambria Math"/>
                    </w:rPr>
                    <m:t>N</m:t>
                  </m:r>
                </m:e>
                <m:sub>
                  <m:r>
                    <w:rPr>
                      <w:rFonts w:ascii="Cambria Math" w:hAnsi="Cambria Math"/>
                    </w:rPr>
                    <m:t>t</m:t>
                  </m:r>
                </m:sub>
              </m:sSub>
            </m:den>
          </m:f>
          <m:r>
            <m:rPr>
              <m:sty m:val="p"/>
            </m:rPr>
            <w:rPr>
              <w:rFonts w:ascii="Cambria Math" w:hAnsi="Cambria Math"/>
            </w:rPr>
            <m:t xml:space="preserve">     (</m:t>
          </m:r>
          <w:fldSimple w:instr=" SEQ &quot;equation&quot; \n \* MERGEFORMAT ">
            <m:r>
              <m:rPr>
                <m:sty m:val="p"/>
              </m:rPr>
              <w:rPr>
                <w:rFonts w:ascii="Cambria Math" w:hAnsi="Cambria Math"/>
                <w:noProof/>
              </w:rPr>
              <m:t>1</m:t>
            </m:r>
          </w:fldSimple>
          <m:r>
            <m:rPr>
              <m:sty m:val="p"/>
            </m:rPr>
            <w:rPr>
              <w:rFonts w:ascii="Cambria Math" w:hAnsi="Cambria Math"/>
            </w:rPr>
            <m:t>)</m:t>
          </m:r>
        </m:oMath>
      </m:oMathPara>
    </w:p>
    <w:p w:rsidR="009F5034" w:rsidRDefault="00FF0E93" w:rsidP="004A3E57">
      <w:pPr>
        <w:pStyle w:val="equation"/>
      </w:pPr>
      <m:oMathPara>
        <m:oMath>
          <m:sSub>
            <m:sSubPr>
              <m:ctrlPr>
                <w:rPr>
                  <w:rFonts w:ascii="Cambria Math" w:hAnsi="Cambria Math"/>
                </w:rPr>
              </m:ctrlPr>
            </m:sSubPr>
            <m:e>
              <m:r>
                <w:rPr>
                  <w:rFonts w:ascii="Cambria Math" w:hAnsi="Cambria Math"/>
                </w:rPr>
                <m:t>y</m:t>
              </m:r>
            </m:e>
            <m:sub>
              <m:r>
                <w:rPr>
                  <w:rFonts w:ascii="Cambria Math" w:hAnsi="Cambria Math"/>
                </w:rPr>
                <m:t>si</m:t>
              </m:r>
            </m:sub>
          </m:sSub>
          <m:r>
            <m:rPr>
              <m:sty m:val="p"/>
            </m:rPr>
            <w:rPr>
              <w:rFonts w:ascii="Cambria Math" w:hAnsi="Cambria Math"/>
            </w:rPr>
            <m:t>=</m:t>
          </m:r>
          <m:nary>
            <m:naryPr>
              <m:chr m:val="∑"/>
              <m:limLoc m:val="undOvr"/>
              <m:supHide m:val="on"/>
              <m:ctrlPr>
                <w:rPr>
                  <w:rFonts w:ascii="Cambria Math" w:hAnsi="Cambria Math"/>
                </w:rPr>
              </m:ctrlPr>
            </m:naryPr>
            <m:sub>
              <m:r>
                <w:rPr>
                  <w:rFonts w:ascii="Cambria Math" w:hAnsi="Cambria Math"/>
                </w:rPr>
                <m:t>s</m:t>
              </m:r>
            </m:sub>
            <m:sup/>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si</m:t>
                          </m:r>
                        </m:sub>
                      </m:sSub>
                      <m:r>
                        <m:rPr>
                          <m:sty m:val="p"/>
                        </m:rPr>
                        <w:rPr>
                          <w:rFonts w:ascii="Cambria Math" w:hAnsi="Cambria Math"/>
                        </w:rPr>
                        <m:t>+1</m:t>
                      </m:r>
                    </m:e>
                  </m:d>
                </m:e>
              </m:func>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w:fldSimple w:instr=" SEQ &quot;equation&quot; \n \* MERGEFORMAT ">
            <m:r>
              <m:rPr>
                <m:sty m:val="p"/>
              </m:rPr>
              <w:rPr>
                <w:rFonts w:ascii="Cambria Math" w:hAnsi="Cambria Math"/>
                <w:noProof/>
              </w:rPr>
              <m:t>2</m:t>
            </m:r>
          </w:fldSimple>
          <m:r>
            <m:rPr>
              <m:sty m:val="p"/>
            </m:rPr>
            <w:rPr>
              <w:rFonts w:ascii="Cambria Math" w:hAnsi="Cambria Math"/>
            </w:rPr>
            <m:t>)</m:t>
          </m:r>
        </m:oMath>
      </m:oMathPara>
    </w:p>
    <w:p w:rsidR="009F5034" w:rsidRPr="00B81038" w:rsidRDefault="009F5034" w:rsidP="00254CDB">
      <w:pPr>
        <w:pStyle w:val="Heading3"/>
        <w:spacing w:before="0"/>
      </w:pPr>
      <w:r w:rsidRPr="00B81038">
        <w:rPr>
          <w:rStyle w:val="heading30"/>
        </w:rPr>
        <w:t>Network Construction</w:t>
      </w:r>
    </w:p>
    <w:p w:rsidR="009F5034" w:rsidRDefault="009F5034" w:rsidP="00C56EA5">
      <w:pPr>
        <w:rPr>
          <w:lang w:eastAsia="en-US"/>
        </w:rPr>
      </w:pPr>
      <w:r>
        <w:rPr>
          <w:lang w:eastAsia="en-US"/>
        </w:rPr>
        <w:t>In our analysis, s</w:t>
      </w:r>
      <w:r w:rsidRPr="00BD1FD4">
        <w:rPr>
          <w:lang w:eastAsia="en-US"/>
        </w:rPr>
        <w:t>ingle-cell samples were grouped by tumor of origin</w:t>
      </w:r>
      <w:r>
        <w:rPr>
          <w:lang w:eastAsia="en-US"/>
        </w:rPr>
        <w:t xml:space="preserve">, t. </w:t>
      </w:r>
      <w:r w:rsidR="00C56EA5">
        <w:rPr>
          <w:lang w:eastAsia="en-US"/>
        </w:rPr>
        <w:t>F</w:t>
      </w:r>
      <w:r w:rsidRPr="00BD1FD4">
        <w:rPr>
          <w:lang w:eastAsia="en-US"/>
        </w:rPr>
        <w:t xml:space="preserve">or </w:t>
      </w:r>
      <w:r>
        <w:rPr>
          <w:lang w:eastAsia="en-US"/>
        </w:rPr>
        <w:t xml:space="preserve">each </w:t>
      </w:r>
      <w:r w:rsidRPr="00BD1FD4">
        <w:rPr>
          <w:lang w:eastAsia="en-US"/>
        </w:rPr>
        <w:t>group</w:t>
      </w:r>
      <w:r>
        <w:rPr>
          <w:lang w:eastAsia="en-US"/>
        </w:rPr>
        <w:t xml:space="preserve">, </w:t>
      </w:r>
      <w:r w:rsidR="00C56EA5">
        <w:rPr>
          <w:lang w:eastAsia="en-US"/>
        </w:rPr>
        <w:t xml:space="preserve">a </w:t>
      </w:r>
      <w:r>
        <w:rPr>
          <w:lang w:eastAsia="en-US"/>
        </w:rPr>
        <w:t xml:space="preserve">gene-by-gene </w:t>
      </w:r>
      <w:r w:rsidRPr="00BD1FD4">
        <w:rPr>
          <w:lang w:eastAsia="en-US"/>
        </w:rPr>
        <w:t>Spearman</w:t>
      </w:r>
      <w:r>
        <w:rPr>
          <w:lang w:eastAsia="en-US"/>
        </w:rPr>
        <w:t>’s</w:t>
      </w:r>
      <w:r w:rsidR="00C56EA5">
        <w:rPr>
          <w:lang w:eastAsia="en-US"/>
        </w:rPr>
        <w:t xml:space="preserve"> rank correlation matrix was </w:t>
      </w:r>
      <w:r w:rsidRPr="00BD1FD4">
        <w:rPr>
          <w:lang w:eastAsia="en-US"/>
        </w:rPr>
        <w:t>calculated</w:t>
      </w:r>
      <w:r w:rsidR="00C56EA5">
        <w:rPr>
          <w:lang w:eastAsia="en-US"/>
        </w:rPr>
        <w:t>:</w:t>
      </w:r>
      <w:r w:rsidRPr="00BD1FD4">
        <w:rPr>
          <w:lang w:eastAsia="en-US"/>
        </w:rPr>
        <w:t xml:space="preserve"> </w:t>
      </w:r>
    </w:p>
    <w:p w:rsidR="00C56EA5" w:rsidRDefault="00FF0E93" w:rsidP="00C56EA5">
      <w:pPr>
        <w:pStyle w:val="equation"/>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11t</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1kt</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k1t</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kkt</m:t>
                        </m:r>
                      </m:sub>
                    </m:sSub>
                  </m:e>
                </m:mr>
              </m:m>
            </m:e>
          </m:d>
          <m:r>
            <m:rPr>
              <m:sty m:val="p"/>
            </m:rPr>
            <w:rPr>
              <w:rFonts w:ascii="Cambria Math" w:hAnsi="Cambria Math"/>
            </w:rPr>
            <m:t xml:space="preserve">     (</m:t>
          </m:r>
          <w:fldSimple w:instr=" SEQ &quot;equation&quot; \n \* MERGEFORMAT ">
            <m:r>
              <m:rPr>
                <m:sty m:val="p"/>
              </m:rPr>
              <w:rPr>
                <w:rFonts w:ascii="Cambria Math" w:hAnsi="Cambria Math"/>
                <w:noProof/>
              </w:rPr>
              <m:t>3</m:t>
            </m:r>
          </w:fldSimple>
          <m:r>
            <m:rPr>
              <m:sty m:val="p"/>
            </m:rPr>
            <w:rPr>
              <w:rFonts w:ascii="Cambria Math" w:hAnsi="Cambria Math"/>
            </w:rPr>
            <m:t>)</m:t>
          </m:r>
        </m:oMath>
      </m:oMathPara>
    </w:p>
    <w:p w:rsidR="000F32D3" w:rsidRDefault="00C56EA5" w:rsidP="0044262B">
      <w:pPr>
        <w:rPr>
          <w:lang w:eastAsia="en-US"/>
        </w:rPr>
      </w:pPr>
      <w:r w:rsidRPr="00D75E3A">
        <w:rPr>
          <w:lang w:eastAsia="en-US"/>
        </w:rPr>
        <w:t xml:space="preserve">Where </w:t>
      </w:r>
      <m:oMath>
        <m:sSub>
          <m:sSubPr>
            <m:ctrlPr>
              <w:rPr>
                <w:rFonts w:ascii="Cambria Math" w:hAnsi="Cambria Math"/>
                <w:lang w:eastAsia="en-US"/>
              </w:rPr>
            </m:ctrlPr>
          </m:sSubPr>
          <m:e>
            <m:r>
              <m:rPr>
                <m:sty m:val="p"/>
              </m:rPr>
              <w:rPr>
                <w:rFonts w:ascii="Cambria Math" w:hAnsi="Cambria Math"/>
                <w:lang w:eastAsia="en-US"/>
              </w:rPr>
              <m:t>ρ</m:t>
            </m:r>
          </m:e>
          <m:sub>
            <m:r>
              <m:rPr>
                <m:sty m:val="p"/>
              </m:rPr>
              <w:rPr>
                <w:rFonts w:ascii="Cambria Math" w:hAnsi="Cambria Math"/>
                <w:lang w:eastAsia="en-US"/>
              </w:rPr>
              <m:t>ijt</m:t>
            </m:r>
          </m:sub>
        </m:sSub>
      </m:oMath>
      <w:r w:rsidRPr="00D75E3A">
        <w:rPr>
          <w:lang w:eastAsia="en-US"/>
        </w:rPr>
        <w:t xml:space="preserve"> is the Spearman’s correlation between </w:t>
      </w:r>
      <w:r w:rsidRPr="00395FCD">
        <w:rPr>
          <w:lang w:eastAsia="en-US"/>
        </w:rPr>
        <w:t xml:space="preserve">the </w:t>
      </w:r>
      <w:proofErr w:type="spellStart"/>
      <w:r w:rsidRPr="00395FCD">
        <w:rPr>
          <w:i/>
          <w:lang w:eastAsia="en-US"/>
        </w:rPr>
        <w:t>i</w:t>
      </w:r>
      <w:r w:rsidRPr="00395FCD">
        <w:rPr>
          <w:vertAlign w:val="superscript"/>
          <w:lang w:eastAsia="en-US"/>
        </w:rPr>
        <w:t>th</w:t>
      </w:r>
      <w:proofErr w:type="spellEnd"/>
      <w:r w:rsidRPr="00395FCD">
        <w:rPr>
          <w:lang w:eastAsia="en-US"/>
        </w:rPr>
        <w:t xml:space="preserve"> and </w:t>
      </w:r>
      <w:proofErr w:type="spellStart"/>
      <w:r w:rsidRPr="00395FCD">
        <w:rPr>
          <w:i/>
          <w:lang w:eastAsia="en-US"/>
        </w:rPr>
        <w:t>j</w:t>
      </w:r>
      <w:r w:rsidRPr="00395FCD">
        <w:rPr>
          <w:vertAlign w:val="superscript"/>
          <w:lang w:eastAsia="en-US"/>
        </w:rPr>
        <w:t>th</w:t>
      </w:r>
      <w:proofErr w:type="spellEnd"/>
      <w:r w:rsidRPr="00395FCD">
        <w:rPr>
          <w:lang w:eastAsia="en-US"/>
        </w:rPr>
        <w:t xml:space="preserve"> gene of tumor t.</w:t>
      </w:r>
      <w:r w:rsidR="0044262B" w:rsidRPr="00395FCD">
        <w:rPr>
          <w:lang w:eastAsia="en-US"/>
        </w:rPr>
        <w:t xml:space="preserve"> </w:t>
      </w:r>
      <w:r w:rsidR="009F5034" w:rsidRPr="00395FCD">
        <w:rPr>
          <w:lang w:eastAsia="en-US"/>
        </w:rPr>
        <w:t xml:space="preserve">Co-expression matrices were then created by filtering at the same Spearman’s rank threshold, </w:t>
      </w:r>
      <w:r w:rsidR="009F5034" w:rsidRPr="00395FCD">
        <w:rPr>
          <w:i/>
          <w:lang w:eastAsia="en-US"/>
        </w:rPr>
        <w:t>c</w:t>
      </w:r>
      <w:r w:rsidR="009F5034" w:rsidRPr="00395FCD">
        <w:rPr>
          <w:lang w:eastAsia="en-US"/>
        </w:rPr>
        <w:t>, to produce binary matrices</w:t>
      </w:r>
      <w:r w:rsidR="000F32D3" w:rsidRPr="00395FCD">
        <w:rPr>
          <w:lang w:eastAsia="en-US"/>
        </w:rPr>
        <w:t xml:space="preserve">, </w:t>
      </w:r>
      <w:proofErr w:type="gramStart"/>
      <w:r w:rsidR="000F32D3" w:rsidRPr="00395FCD">
        <w:rPr>
          <w:lang w:eastAsia="en-US"/>
        </w:rPr>
        <w:t>B</w:t>
      </w:r>
      <w:r w:rsidR="000F32D3" w:rsidRPr="00395FCD">
        <w:rPr>
          <w:vertAlign w:val="subscript"/>
          <w:lang w:eastAsia="en-US"/>
        </w:rPr>
        <w:t>t</w:t>
      </w:r>
      <w:proofErr w:type="gramEnd"/>
      <w:r w:rsidR="000F32D3" w:rsidRPr="00395FCD">
        <w:rPr>
          <w:lang w:eastAsia="en-US"/>
        </w:rPr>
        <w:t>, per tumor</w:t>
      </w:r>
      <w:r w:rsidR="009F5034" w:rsidRPr="00395FCD">
        <w:rPr>
          <w:lang w:eastAsia="en-US"/>
        </w:rPr>
        <w:t>.</w:t>
      </w:r>
      <w:r w:rsidR="009F5034">
        <w:rPr>
          <w:lang w:eastAsia="en-US"/>
        </w:rPr>
        <w:t xml:space="preserve"> </w:t>
      </w:r>
    </w:p>
    <w:p w:rsidR="0044262B" w:rsidRDefault="00FF0E93" w:rsidP="0044262B">
      <w:pPr>
        <w:spacing w:before="120"/>
        <w:rPr>
          <w:lang w:eastAsia="en-US"/>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11t</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1kt</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k1t</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kkt</m:t>
                        </m:r>
                      </m:sub>
                    </m:sSub>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d>
                    <m:dPr>
                      <m:begChr m:val="|"/>
                      <m:endChr m:val="|"/>
                      <m:ctrlPr>
                        <w:rPr>
                          <w:rFonts w:ascii="Cambria Math" w:hAnsi="Cambria Math"/>
                          <w:lang w:eastAsia="en-US"/>
                        </w:rPr>
                      </m:ctrlPr>
                    </m:dPr>
                    <m:e>
                      <m:sSub>
                        <m:sSubPr>
                          <m:ctrlPr>
                            <w:rPr>
                              <w:rFonts w:ascii="Cambria Math" w:hAnsi="Cambria Math"/>
                              <w:lang w:eastAsia="en-US"/>
                            </w:rPr>
                          </m:ctrlPr>
                        </m:sSubPr>
                        <m:e>
                          <m:r>
                            <m:rPr>
                              <m:sty m:val="p"/>
                            </m:rPr>
                            <w:rPr>
                              <w:rFonts w:ascii="Cambria Math" w:hAnsi="Cambria Math"/>
                              <w:lang w:eastAsia="en-US"/>
                            </w:rPr>
                            <m:t xml:space="preserve"> ρ</m:t>
                          </m:r>
                        </m:e>
                        <m:sub>
                          <m:r>
                            <m:rPr>
                              <m:sty m:val="p"/>
                            </m:rPr>
                            <w:rPr>
                              <w:rFonts w:ascii="Cambria Math" w:hAnsi="Cambria Math"/>
                              <w:lang w:eastAsia="en-US"/>
                            </w:rPr>
                            <m:t>ijt</m:t>
                          </m:r>
                        </m:sub>
                      </m:sSub>
                    </m:e>
                  </m:d>
                  <m:r>
                    <m:rPr>
                      <m:sty m:val="p"/>
                    </m:rPr>
                    <w:rPr>
                      <w:rFonts w:ascii="Cambria Math" w:hAnsi="Cambria Math"/>
                    </w:rPr>
                    <m:t xml:space="preserve">≥c </m:t>
                  </m:r>
                </m:e>
                <m:e>
                  <m:r>
                    <m:rPr>
                      <m:sty m:val="p"/>
                    </m:rPr>
                    <w:rPr>
                      <w:rFonts w:ascii="Cambria Math" w:hAnsi="Cambria Math"/>
                    </w:rPr>
                    <m:t xml:space="preserve">0,  </m:t>
                  </m:r>
                  <m:r>
                    <m:rPr>
                      <m:sty m:val="p"/>
                    </m:rPr>
                    <w:rPr>
                      <w:rFonts w:ascii="Cambria Math" w:hAnsi="Cambria Math"/>
                      <w:lang w:eastAsia="en-US"/>
                    </w:rPr>
                    <m:t>o.w.</m:t>
                  </m:r>
                  <m:r>
                    <m:rPr>
                      <m:sty m:val="p"/>
                    </m:rPr>
                    <w:rPr>
                      <w:rFonts w:ascii="Cambria Math" w:hAnsi="Cambria Math"/>
                    </w:rPr>
                    <m:t xml:space="preserve"> </m:t>
                  </m:r>
                </m:e>
              </m:eqArr>
            </m:e>
          </m:d>
          <m:r>
            <m:rPr>
              <m:sty m:val="p"/>
            </m:rPr>
            <w:rPr>
              <w:rFonts w:ascii="Cambria Math" w:hAnsi="Cambria Math"/>
            </w:rPr>
            <m:t xml:space="preserve">     (</m:t>
          </m:r>
          <w:fldSimple w:instr=" SEQ &quot;equation&quot; \n \* MERGEFORMAT ">
            <m:r>
              <m:rPr>
                <m:sty m:val="p"/>
              </m:rPr>
              <w:rPr>
                <w:rFonts w:ascii="Cambria Math" w:hAnsi="Cambria Math"/>
                <w:noProof/>
              </w:rPr>
              <m:t>4</m:t>
            </m:r>
          </w:fldSimple>
          <m:r>
            <m:rPr>
              <m:sty m:val="p"/>
            </m:rPr>
            <w:rPr>
              <w:rFonts w:ascii="Cambria Math" w:hAnsi="Cambria Math"/>
            </w:rPr>
            <m:t>)</m:t>
          </m:r>
        </m:oMath>
      </m:oMathPara>
    </w:p>
    <w:p w:rsidR="00C02BF9" w:rsidRDefault="009F5034" w:rsidP="0044262B">
      <w:pPr>
        <w:spacing w:before="120"/>
        <w:rPr>
          <w:lang w:eastAsia="en-US"/>
        </w:rPr>
      </w:pPr>
      <w:r>
        <w:rPr>
          <w:lang w:eastAsia="en-US"/>
        </w:rPr>
        <w:t>This is analogous to cutting a co-expression network at a given edge threshold. A</w:t>
      </w:r>
      <w:r>
        <w:rPr>
          <w:lang w:eastAsia="en-US"/>
        </w:rPr>
        <w:t>f</w:t>
      </w:r>
      <w:r>
        <w:rPr>
          <w:lang w:eastAsia="en-US"/>
        </w:rPr>
        <w:t xml:space="preserve">ter analyzing the distribution of resulting networks’ densities </w:t>
      </w:r>
      <w:r w:rsidRPr="00291C9F">
        <w:rPr>
          <w:highlight w:val="yellow"/>
          <w:lang w:eastAsia="en-US"/>
        </w:rPr>
        <w:t>(Figure 1.a)</w:t>
      </w:r>
      <w:r>
        <w:rPr>
          <w:lang w:eastAsia="en-US"/>
        </w:rPr>
        <w:t xml:space="preserve"> we settled on a threshold of 0.3 with </w:t>
      </w:r>
      <w:r w:rsidR="000F32D3">
        <w:rPr>
          <w:lang w:eastAsia="en-US"/>
        </w:rPr>
        <w:t>an</w:t>
      </w:r>
      <w:r>
        <w:rPr>
          <w:lang w:eastAsia="en-US"/>
        </w:rPr>
        <w:t xml:space="preserve"> </w:t>
      </w:r>
      <w:r w:rsidRPr="006025B1">
        <w:rPr>
          <w:highlight w:val="yellow"/>
          <w:lang w:eastAsia="en-US"/>
        </w:rPr>
        <w:t>associated frequency network density of (0.04).</w:t>
      </w:r>
      <w:r>
        <w:rPr>
          <w:lang w:eastAsia="en-US"/>
        </w:rPr>
        <w:t xml:space="preserve"> We point out that this threshold is low, but we argue that </w:t>
      </w:r>
      <w:r w:rsidR="000F32D3">
        <w:rPr>
          <w:lang w:eastAsia="en-US"/>
        </w:rPr>
        <w:t>it</w:t>
      </w:r>
      <w:r>
        <w:rPr>
          <w:lang w:eastAsia="en-US"/>
        </w:rPr>
        <w:t xml:space="preserve"> is </w:t>
      </w:r>
      <w:r w:rsidR="00D75E3A">
        <w:rPr>
          <w:lang w:eastAsia="en-US"/>
        </w:rPr>
        <w:t xml:space="preserve">a </w:t>
      </w:r>
      <w:r>
        <w:rPr>
          <w:lang w:eastAsia="en-US"/>
        </w:rPr>
        <w:t xml:space="preserve">necessary </w:t>
      </w:r>
      <w:r w:rsidR="00D75E3A">
        <w:rPr>
          <w:lang w:eastAsia="en-US"/>
        </w:rPr>
        <w:t xml:space="preserve">trade-off </w:t>
      </w:r>
      <w:r>
        <w:rPr>
          <w:lang w:eastAsia="en-US"/>
        </w:rPr>
        <w:t xml:space="preserve">given the distribution of correlations </w:t>
      </w:r>
      <w:r w:rsidRPr="00291C9F">
        <w:rPr>
          <w:highlight w:val="yellow"/>
          <w:lang w:eastAsia="en-US"/>
        </w:rPr>
        <w:t>(Figure 1.b).</w:t>
      </w:r>
      <w:r>
        <w:rPr>
          <w:lang w:eastAsia="en-US"/>
        </w:rPr>
        <w:t xml:space="preserve"> It is expected to see such non-concordant data</w:t>
      </w:r>
      <w:r w:rsidR="000F32D3">
        <w:rPr>
          <w:lang w:eastAsia="en-US"/>
        </w:rPr>
        <w:t>,</w:t>
      </w:r>
      <w:r>
        <w:rPr>
          <w:lang w:eastAsia="en-US"/>
        </w:rPr>
        <w:t xml:space="preserve"> because </w:t>
      </w:r>
      <w:r w:rsidR="00387D30">
        <w:rPr>
          <w:lang w:eastAsia="en-US"/>
        </w:rPr>
        <w:t xml:space="preserve">current </w:t>
      </w:r>
      <w:r>
        <w:rPr>
          <w:lang w:eastAsia="en-US"/>
        </w:rPr>
        <w:t>single-cell RNASeq</w:t>
      </w:r>
      <w:r w:rsidR="00387D30">
        <w:rPr>
          <w:lang w:eastAsia="en-US"/>
        </w:rPr>
        <w:t xml:space="preserve"> technology</w:t>
      </w:r>
      <w:r>
        <w:rPr>
          <w:lang w:eastAsia="en-US"/>
        </w:rPr>
        <w:t xml:space="preserve"> is known to </w:t>
      </w:r>
      <w:r w:rsidR="00387D30">
        <w:rPr>
          <w:lang w:eastAsia="en-US"/>
        </w:rPr>
        <w:t>produce</w:t>
      </w:r>
      <w:r>
        <w:rPr>
          <w:lang w:eastAsia="en-US"/>
        </w:rPr>
        <w:t xml:space="preserve"> noisy </w:t>
      </w:r>
      <w:r w:rsidR="00387D30">
        <w:rPr>
          <w:lang w:eastAsia="en-US"/>
        </w:rPr>
        <w:t xml:space="preserve">data </w:t>
      </w:r>
      <w:r w:rsidRPr="00B43B4E">
        <w:rPr>
          <w:highlight w:val="yellow"/>
          <w:lang w:eastAsia="en-US"/>
        </w:rPr>
        <w:t>(need a reference for this).</w:t>
      </w:r>
    </w:p>
    <w:p w:rsidR="009F5034" w:rsidRDefault="0022300C" w:rsidP="004027C2">
      <w:pPr>
        <w:pStyle w:val="figurecaption"/>
      </w:pPr>
      <w:r>
        <w:rPr>
          <w:noProof/>
          <w:lang w:eastAsia="en-US"/>
        </w:rPr>
        <w:lastRenderedPageBreak/>
        <w:drawing>
          <wp:anchor distT="0" distB="0" distL="114300" distR="114300" simplePos="0" relativeHeight="251660288" behindDoc="0" locked="0" layoutInCell="1" allowOverlap="1">
            <wp:simplePos x="0" y="0"/>
            <wp:positionH relativeFrom="column">
              <wp:posOffset>-55245</wp:posOffset>
            </wp:positionH>
            <wp:positionV relativeFrom="paragraph">
              <wp:posOffset>-11430</wp:posOffset>
            </wp:positionV>
            <wp:extent cx="2787650" cy="1701165"/>
            <wp:effectExtent l="19050" t="0" r="0" b="0"/>
            <wp:wrapSquare wrapText="bothSides"/>
            <wp:docPr id="2" name="Picture 2" descr="Macintosh HD:Users:Brian:Documents:Research:SingleCellCoexpressionNetwork:Figures:Comparative density of network spea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an:Documents:Research:SingleCellCoexpressionNetwork:Figures:Comparative density of network spearman.png"/>
                    <pic:cNvPicPr>
                      <a:picLocks noChangeAspect="1" noChangeArrowheads="1"/>
                    </pic:cNvPicPr>
                  </pic:nvPicPr>
                  <pic:blipFill>
                    <a:blip r:embed="rId8" cstate="print"/>
                    <a:stretch>
                      <a:fillRect/>
                    </a:stretch>
                  </pic:blipFill>
                  <pic:spPr bwMode="auto">
                    <a:xfrm>
                      <a:off x="0" y="0"/>
                      <a:ext cx="2787650" cy="1701165"/>
                    </a:xfrm>
                    <a:prstGeom prst="rect">
                      <a:avLst/>
                    </a:prstGeom>
                    <a:noFill/>
                    <a:ln>
                      <a:noFill/>
                    </a:ln>
                  </pic:spPr>
                </pic:pic>
              </a:graphicData>
            </a:graphic>
          </wp:anchor>
        </w:drawing>
      </w:r>
      <w:r w:rsidR="00FF0E93">
        <w:rPr>
          <w:noProof/>
          <w:lang w:eastAsia="en-US"/>
        </w:rPr>
        <w:pict>
          <v:shapetype id="_x0000_t32" coordsize="21600,21600" o:spt="32" o:oned="t" path="m,l21600,21600e" filled="f">
            <v:path arrowok="t" fillok="f" o:connecttype="none"/>
            <o:lock v:ext="edit" shapetype="t"/>
          </v:shapetype>
          <v:shape id="_x0000_s1029" type="#_x0000_t32" style="position:absolute;left:0;text-align:left;margin-left:-.55pt;margin-top:130.65pt;width:122.25pt;height:.05pt;z-index:251662336;mso-position-horizontal-relative:text;mso-position-vertical-relative:text" o:connectortype="straight"/>
        </w:pict>
      </w:r>
      <w:proofErr w:type="gramStart"/>
      <w:r w:rsidR="004027C2">
        <w:rPr>
          <w:b/>
        </w:rPr>
        <w:t>Fig.</w:t>
      </w:r>
      <w:proofErr w:type="gramEnd"/>
      <w:r w:rsidR="004027C2">
        <w:rPr>
          <w:b/>
        </w:rPr>
        <w:t xml:space="preserve"> </w:t>
      </w:r>
      <w:fldSimple w:instr=" SEQ &quot;Figure&quot; \* MERGEFORMAT ">
        <w:r w:rsidR="00EA7E26" w:rsidRPr="00EA7E26">
          <w:rPr>
            <w:b/>
            <w:noProof/>
          </w:rPr>
          <w:t>1</w:t>
        </w:r>
      </w:fldSimple>
      <w:r w:rsidR="004027C2">
        <w:rPr>
          <w:b/>
        </w:rPr>
        <w:t>.</w:t>
      </w:r>
      <w:r w:rsidR="004027C2">
        <w:t xml:space="preserve"> </w:t>
      </w:r>
      <w:r w:rsidR="00C02BF9" w:rsidRPr="004027C2">
        <w:t xml:space="preserve"> </w:t>
      </w:r>
      <w:r w:rsidR="004027C2">
        <w:rPr>
          <w:b/>
        </w:rPr>
        <w:t xml:space="preserve">Single Cell Correlation </w:t>
      </w:r>
      <w:r w:rsidR="004027C2">
        <w:t>We examine the distribution of edge weights in each tumor no</w:t>
      </w:r>
      <w:r w:rsidR="004027C2">
        <w:t>t</w:t>
      </w:r>
      <w:r w:rsidR="004027C2">
        <w:t>ing that there are not many hig</w:t>
      </w:r>
      <w:r w:rsidR="004027C2">
        <w:t>h</w:t>
      </w:r>
      <w:r w:rsidR="004027C2">
        <w:t>ly correlation genes. This is theorized to be due to the nois</w:t>
      </w:r>
      <w:r w:rsidR="004027C2">
        <w:t>i</w:t>
      </w:r>
      <w:r w:rsidR="004027C2">
        <w:t>ness of single-cell data. Accor</w:t>
      </w:r>
      <w:r w:rsidR="004027C2">
        <w:t>d</w:t>
      </w:r>
      <w:r w:rsidR="004027C2">
        <w:t xml:space="preserve">ingly we set a low correlation threshold of </w:t>
      </w:r>
      <w:r w:rsidR="004027C2" w:rsidRPr="004027C2">
        <w:rPr>
          <w:i/>
        </w:rPr>
        <w:t>c</w:t>
      </w:r>
      <w:r w:rsidR="004027C2">
        <w:t xml:space="preserve"> = 0.3 when co</w:t>
      </w:r>
      <w:r w:rsidR="004027C2">
        <w:t>n</w:t>
      </w:r>
      <w:r w:rsidR="004027C2">
        <w:t>structing the binary matrix in equation (4).</w:t>
      </w:r>
    </w:p>
    <w:p w:rsidR="004027C2" w:rsidRPr="004027C2" w:rsidRDefault="004027C2" w:rsidP="004027C2"/>
    <w:p w:rsidR="000F32D3" w:rsidRDefault="00E256D9" w:rsidP="000C5357">
      <w:pPr>
        <w:rPr>
          <w:lang w:eastAsia="en-US"/>
        </w:rPr>
      </w:pPr>
      <w:r>
        <w:rPr>
          <w:lang w:eastAsia="en-US"/>
        </w:rPr>
        <w:t>T</w:t>
      </w:r>
      <w:r w:rsidR="009F5034">
        <w:rPr>
          <w:lang w:eastAsia="en-US"/>
        </w:rPr>
        <w:t>he binary matrices</w:t>
      </w:r>
      <w:r w:rsidR="009F5034" w:rsidRPr="00BD1FD4">
        <w:rPr>
          <w:lang w:eastAsia="en-US"/>
        </w:rPr>
        <w:t xml:space="preserve"> </w:t>
      </w:r>
      <w:r w:rsidR="009F5034">
        <w:rPr>
          <w:lang w:eastAsia="en-US"/>
        </w:rPr>
        <w:t xml:space="preserve">were then </w:t>
      </w:r>
      <w:r w:rsidR="009F5034" w:rsidRPr="00BD1FD4">
        <w:rPr>
          <w:lang w:eastAsia="en-US"/>
        </w:rPr>
        <w:t xml:space="preserve">aggregated </w:t>
      </w:r>
      <w:r w:rsidR="009F5034">
        <w:rPr>
          <w:lang w:eastAsia="en-US"/>
        </w:rPr>
        <w:t xml:space="preserve">into a single frequency </w:t>
      </w:r>
      <w:r w:rsidR="009F5034" w:rsidRPr="00395FCD">
        <w:rPr>
          <w:lang w:eastAsia="en-US"/>
        </w:rPr>
        <w:t>matrix</w:t>
      </w:r>
      <w:r w:rsidR="000F32D3" w:rsidRPr="00395FCD">
        <w:rPr>
          <w:lang w:eastAsia="en-US"/>
        </w:rPr>
        <w:t xml:space="preserve">, </w:t>
      </w:r>
      <w:r w:rsidR="000F32D3" w:rsidRPr="00395FCD">
        <w:rPr>
          <w:i/>
          <w:lang w:eastAsia="en-US"/>
        </w:rPr>
        <w:t>F</w:t>
      </w:r>
      <w:r w:rsidR="009F5034" w:rsidRPr="00395FCD">
        <w:rPr>
          <w:lang w:eastAsia="en-US"/>
        </w:rPr>
        <w:t xml:space="preserve">. </w:t>
      </w:r>
      <w:r w:rsidR="000F32D3" w:rsidRPr="00395FCD">
        <w:rPr>
          <w:lang w:eastAsia="en-US"/>
        </w:rPr>
        <w:t>This aggregation is performed in an attempt to attenuate</w:t>
      </w:r>
      <w:r w:rsidR="0044262B" w:rsidRPr="00395FCD">
        <w:rPr>
          <w:lang w:eastAsia="en-US"/>
        </w:rPr>
        <w:t xml:space="preserve"> patient-</w:t>
      </w:r>
      <w:r w:rsidR="000F32D3" w:rsidRPr="00395FCD">
        <w:rPr>
          <w:lang w:eastAsia="en-US"/>
        </w:rPr>
        <w:t>specific signals and focus</w:t>
      </w:r>
      <w:r w:rsidR="0044262B">
        <w:rPr>
          <w:lang w:eastAsia="en-US"/>
        </w:rPr>
        <w:t>,</w:t>
      </w:r>
      <w:r w:rsidR="000F32D3">
        <w:rPr>
          <w:lang w:eastAsia="en-US"/>
        </w:rPr>
        <w:t xml:space="preserve"> rather</w:t>
      </w:r>
      <w:r w:rsidR="0044262B">
        <w:rPr>
          <w:lang w:eastAsia="en-US"/>
        </w:rPr>
        <w:t>, on glioblastoma-</w:t>
      </w:r>
      <w:r w:rsidR="000F32D3">
        <w:rPr>
          <w:lang w:eastAsia="en-US"/>
        </w:rPr>
        <w:t>specific patterns of gene co-expression.</w:t>
      </w:r>
    </w:p>
    <w:p w:rsidR="009F5034" w:rsidRDefault="000F32D3" w:rsidP="00E256D9">
      <w:pPr>
        <w:pStyle w:val="equation"/>
        <w:rPr>
          <w:lang w:eastAsia="en-US"/>
        </w:rPr>
      </w:pPr>
      <m:oMathPara>
        <m:oMath>
          <m:r>
            <m:rPr>
              <m:sty m:val="p"/>
            </m:rPr>
            <w:rPr>
              <w:rFonts w:ascii="Cambria Math" w:hAnsi="Cambria Math"/>
            </w:rPr>
            <m:t>F=</m:t>
          </m:r>
          <m:d>
            <m:dPr>
              <m:begChr m:val="["/>
              <m:endChr m:val="]"/>
              <m:ctrlPr>
                <w:rPr>
                  <w:rFonts w:ascii="Cambria Math" w:hAnsi="Cambria Math"/>
                </w:rPr>
              </m:ctrlPr>
            </m:dPr>
            <m:e>
              <m:m>
                <m:mPr>
                  <m:mcs>
                    <m:mc>
                      <m:mcPr>
                        <m:count m:val="3"/>
                        <m:mcJc m:val="center"/>
                      </m:mcPr>
                    </m:mc>
                  </m:mcs>
                  <m:ctrlPr>
                    <w:rPr>
                      <w:rFonts w:ascii="Cambria Math" w:hAnsi="Cambria Math"/>
                    </w:rPr>
                  </m:ctrlPr>
                </m:mPr>
                <m:mr>
                  <m:e>
                    <m:nary>
                      <m:naryPr>
                        <m:chr m:val="∑"/>
                        <m:limLoc m:val="undOvr"/>
                        <m:supHide m:val="on"/>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11t</m:t>
                            </m:r>
                          </m:sub>
                        </m:sSub>
                      </m:e>
                    </m:nary>
                  </m:e>
                  <m:e>
                    <m:r>
                      <m:rPr>
                        <m:sty m:val="p"/>
                      </m:rPr>
                      <w:rPr>
                        <w:rFonts w:ascii="Cambria Math" w:hAnsi="Cambria Math"/>
                      </w:rPr>
                      <m:t>⋯</m:t>
                    </m:r>
                  </m:e>
                  <m:e>
                    <m:nary>
                      <m:naryPr>
                        <m:chr m:val="∑"/>
                        <m:limLoc m:val="undOvr"/>
                        <m:supHide m:val="on"/>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1kt</m:t>
                            </m:r>
                          </m:sub>
                        </m:sSub>
                      </m:e>
                    </m:nary>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nary>
                      <m:naryPr>
                        <m:chr m:val="∑"/>
                        <m:limLoc m:val="undOvr"/>
                        <m:supHide m:val="on"/>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k1t</m:t>
                            </m:r>
                          </m:sub>
                        </m:sSub>
                      </m:e>
                    </m:nary>
                  </m:e>
                  <m:e>
                    <m:r>
                      <m:rPr>
                        <m:sty m:val="p"/>
                      </m:rPr>
                      <w:rPr>
                        <w:rFonts w:ascii="Cambria Math" w:hAnsi="Cambria Math"/>
                      </w:rPr>
                      <m:t>⋯</m:t>
                    </m:r>
                  </m:e>
                  <m:e>
                    <m:nary>
                      <m:naryPr>
                        <m:chr m:val="∑"/>
                        <m:limLoc m:val="undOvr"/>
                        <m:supHide m:val="on"/>
                        <m:ctrlPr>
                          <w:rPr>
                            <w:rFonts w:ascii="Cambria Math" w:hAnsi="Cambria Math"/>
                          </w:rPr>
                        </m:ctrlPr>
                      </m:naryPr>
                      <m:sub>
                        <m:r>
                          <m:rPr>
                            <m:sty m:val="p"/>
                          </m:rPr>
                          <w:rPr>
                            <w:rFonts w:ascii="Cambria Math" w:hAnsi="Cambria Math"/>
                          </w:rPr>
                          <m:t>t</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kkt</m:t>
                            </m:r>
                          </m:sub>
                        </m:sSub>
                      </m:e>
                    </m:nary>
                  </m:e>
                </m:mr>
              </m:m>
            </m:e>
          </m:d>
          <m:r>
            <m:rPr>
              <m:sty m:val="p"/>
            </m:rPr>
            <w:rPr>
              <w:rFonts w:ascii="Cambria Math" w:hAnsi="Cambria Math"/>
            </w:rPr>
            <m:t xml:space="preserve">     (</m:t>
          </m:r>
          <w:fldSimple w:instr=" SEQ &quot;equation&quot; \n \* MERGEFORMAT ">
            <m:r>
              <m:rPr>
                <m:sty m:val="p"/>
              </m:rPr>
              <w:rPr>
                <w:rFonts w:ascii="Cambria Math" w:hAnsi="Cambria Math"/>
                <w:noProof/>
              </w:rPr>
              <m:t>5</m:t>
            </m:r>
          </w:fldSimple>
          <m:r>
            <m:rPr>
              <m:sty m:val="p"/>
            </m:rPr>
            <w:rPr>
              <w:rFonts w:ascii="Cambria Math" w:hAnsi="Cambria Math"/>
            </w:rPr>
            <m:t>)</m:t>
          </m:r>
        </m:oMath>
      </m:oMathPara>
    </w:p>
    <w:p w:rsidR="009F5034" w:rsidRPr="00B81038" w:rsidRDefault="009F5034" w:rsidP="00B81038">
      <w:pPr>
        <w:pStyle w:val="Heading3"/>
      </w:pPr>
      <w:r w:rsidRPr="00B81038">
        <w:rPr>
          <w:rStyle w:val="heading30"/>
        </w:rPr>
        <w:t>Module Detection</w:t>
      </w:r>
    </w:p>
    <w:p w:rsidR="009F5034" w:rsidRPr="00B37D09" w:rsidRDefault="009F5034" w:rsidP="00B37D09">
      <w:r w:rsidRPr="00B37D09">
        <w:t>This frequency matrix was then fed into the CODENSE software to be converted into a summary network</w:t>
      </w:r>
      <w:r w:rsidR="00090DC8" w:rsidRPr="00B37D09">
        <w:t>, S,</w:t>
      </w:r>
      <w:r w:rsidRPr="00B37D09">
        <w:t xml:space="preserve"> and then mined for high-density modules</w:t>
      </w:r>
      <w:r w:rsidR="00395FCD">
        <w:t xml:space="preserve"> </w:t>
      </w:r>
      <w:sdt>
        <w:sdtPr>
          <w:id w:val="679168"/>
          <w:citation/>
        </w:sdtPr>
        <w:sdtContent>
          <w:fldSimple w:instr=" CITATION Hu01062005 \l 1033 ">
            <w:r w:rsidR="00395FCD">
              <w:rPr>
                <w:noProof/>
              </w:rPr>
              <w:t>(Hu, Yan, Huang, Han, &amp; Zhou, 2005)</w:t>
            </w:r>
          </w:fldSimple>
        </w:sdtContent>
      </w:sdt>
      <w:r w:rsidRPr="00B37D09">
        <w:t xml:space="preserve">. </w:t>
      </w:r>
    </w:p>
    <w:p w:rsidR="009F5034" w:rsidRDefault="00C14C68" w:rsidP="00C14C68">
      <w:pPr>
        <w:pStyle w:val="equation"/>
      </w:pPr>
      <m:oMathPara>
        <m:oMath>
          <m:r>
            <w:rPr>
              <w:rFonts w:ascii="Cambria Math" w:hAnsi="Cambria Math"/>
              <w:lang w:eastAsia="en-US"/>
            </w:rPr>
            <m:t>S</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V</m:t>
              </m:r>
              <m:r>
                <m:rPr>
                  <m:sty m:val="p"/>
                </m:rPr>
                <w:rPr>
                  <w:rFonts w:ascii="Cambria Math" w:hAnsi="Cambria Math"/>
                  <w:lang w:eastAsia="en-US"/>
                </w:rPr>
                <m:t>,</m:t>
              </m:r>
              <m:r>
                <w:rPr>
                  <w:rFonts w:ascii="Cambria Math" w:hAnsi="Cambria Math"/>
                  <w:lang w:eastAsia="en-US"/>
                </w:rPr>
                <m:t>E</m:t>
              </m:r>
            </m:e>
          </m:d>
          <m:r>
            <m:rPr>
              <m:sty m:val="p"/>
            </m:rPr>
            <w:rPr>
              <w:rFonts w:ascii="Cambria Math" w:hAnsi="Cambria Math"/>
              <w:lang w:eastAsia="en-US"/>
            </w:rPr>
            <m:t xml:space="preserve">, where </m:t>
          </m:r>
          <m:sSub>
            <m:sSubPr>
              <m:ctrlPr>
                <w:rPr>
                  <w:rFonts w:ascii="Cambria Math" w:hAnsi="Cambria Math"/>
                  <w:lang w:eastAsia="en-US"/>
                </w:rPr>
              </m:ctrlPr>
            </m:sSubPr>
            <m:e>
              <m:r>
                <w:rPr>
                  <w:rFonts w:ascii="Cambria Math" w:hAnsi="Cambria Math"/>
                  <w:lang w:eastAsia="en-US"/>
                </w:rPr>
                <m:t>v</m:t>
              </m:r>
            </m:e>
            <m:sub>
              <m:r>
                <w:rPr>
                  <w:rFonts w:ascii="Cambria Math" w:hAnsi="Cambria Math"/>
                  <w:lang w:eastAsia="en-US"/>
                </w:rPr>
                <m:t>i</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v</m:t>
              </m:r>
            </m:e>
            <m:sub>
              <m:r>
                <w:rPr>
                  <w:rFonts w:ascii="Cambria Math" w:hAnsi="Cambria Math"/>
                  <w:lang w:eastAsia="en-US"/>
                </w:rPr>
                <m:t>j</m:t>
              </m:r>
            </m:sub>
          </m:sSub>
          <m:r>
            <m:rPr>
              <m:sty m:val="p"/>
            </m:rPr>
            <w:rPr>
              <w:rFonts w:ascii="Cambria Math" w:hAnsi="Cambria Math"/>
              <w:lang w:eastAsia="en-US"/>
            </w:rPr>
            <m:t>∈</m:t>
          </m:r>
          <m:r>
            <w:rPr>
              <w:rFonts w:ascii="Cambria Math" w:hAnsi="Cambria Math"/>
              <w:lang w:eastAsia="en-US"/>
            </w:rPr>
            <m:t>V</m:t>
          </m:r>
          <m:r>
            <m:rPr>
              <m:sty m:val="p"/>
            </m:rPr>
            <w:rPr>
              <w:rFonts w:ascii="Cambria Math" w:hAnsi="Cambria Math"/>
              <w:lang w:eastAsia="en-US"/>
            </w:rPr>
            <m:t xml:space="preserve"> </m:t>
          </m:r>
          <m:r>
            <w:rPr>
              <w:rFonts w:ascii="Cambria Math" w:hAnsi="Cambria Math"/>
              <w:lang w:eastAsia="en-US"/>
            </w:rPr>
            <m:t>and</m:t>
          </m:r>
          <m:r>
            <m:rPr>
              <m:sty m:val="p"/>
            </m:rPr>
            <w:rPr>
              <w:rFonts w:ascii="Cambria Math" w:hAnsi="Cambria Math"/>
              <w:lang w:eastAsia="en-US"/>
            </w:rPr>
            <m:t xml:space="preserve"> </m:t>
          </m:r>
          <m:d>
            <m:dPr>
              <m:ctrlPr>
                <w:rPr>
                  <w:rFonts w:ascii="Cambria Math" w:hAnsi="Cambria Math"/>
                  <w:lang w:eastAsia="en-US"/>
                </w:rPr>
              </m:ctrlPr>
            </m:dPr>
            <m:e>
              <m:sSub>
                <m:sSubPr>
                  <m:ctrlPr>
                    <w:rPr>
                      <w:rFonts w:ascii="Cambria Math" w:hAnsi="Cambria Math"/>
                      <w:lang w:eastAsia="en-US"/>
                    </w:rPr>
                  </m:ctrlPr>
                </m:sSubPr>
                <m:e>
                  <m:r>
                    <w:rPr>
                      <w:rFonts w:ascii="Cambria Math" w:hAnsi="Cambria Math"/>
                      <w:lang w:eastAsia="en-US"/>
                    </w:rPr>
                    <m:t>v</m:t>
                  </m:r>
                </m:e>
                <m:sub>
                  <m:r>
                    <w:rPr>
                      <w:rFonts w:ascii="Cambria Math" w:hAnsi="Cambria Math"/>
                      <w:lang w:eastAsia="en-US"/>
                    </w:rPr>
                    <m:t>i</m:t>
                  </m:r>
                </m:sub>
              </m:sSub>
              <m:r>
                <m:rPr>
                  <m:sty m:val="p"/>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v</m:t>
                  </m:r>
                </m:e>
                <m:sub>
                  <m:r>
                    <w:rPr>
                      <w:rFonts w:ascii="Cambria Math" w:hAnsi="Cambria Math"/>
                      <w:lang w:eastAsia="en-US"/>
                    </w:rPr>
                    <m:t>j</m:t>
                  </m:r>
                </m:sub>
              </m:sSub>
            </m:e>
          </m:d>
          <m:r>
            <m:rPr>
              <m:sty m:val="p"/>
            </m:rPr>
            <w:rPr>
              <w:rFonts w:ascii="Cambria Math" w:hAnsi="Cambria Math"/>
              <w:lang w:eastAsia="en-US"/>
            </w:rPr>
            <m:t>∈</m:t>
          </m:r>
          <m:r>
            <w:rPr>
              <w:rFonts w:ascii="Cambria Math" w:hAnsi="Cambria Math"/>
              <w:lang w:eastAsia="en-US"/>
            </w:rPr>
            <m:t>E</m:t>
          </m:r>
          <m:r>
            <m:rPr>
              <m:sty m:val="p"/>
            </m:rPr>
            <w:rPr>
              <w:rFonts w:ascii="Cambria Math" w:hAnsi="Cambria Math"/>
              <w:lang w:eastAsia="en-US"/>
            </w:rPr>
            <m:t xml:space="preserve"> ↔ </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ij</m:t>
              </m:r>
            </m:sub>
          </m:sSub>
          <m:r>
            <m:rPr>
              <m:sty m:val="p"/>
            </m:rPr>
            <w:rPr>
              <w:rFonts w:ascii="Cambria Math" w:hAnsi="Cambria Math"/>
              <w:lang w:eastAsia="en-US"/>
            </w:rPr>
            <m:t>≥</m:t>
          </m:r>
          <m:r>
            <w:rPr>
              <w:rFonts w:ascii="Cambria Math" w:hAnsi="Cambria Math"/>
              <w:lang w:eastAsia="en-US"/>
            </w:rPr>
            <m:t xml:space="preserve">e     </m:t>
          </m:r>
          <m:r>
            <m:rPr>
              <m:sty m:val="p"/>
            </m:rPr>
            <w:rPr>
              <w:rFonts w:ascii="Cambria Math" w:hAnsi="Cambria Math"/>
            </w:rPr>
            <m:t>(</m:t>
          </m:r>
          <w:fldSimple w:instr=" SEQ &quot;equation&quot; \n \* MERGEFORMAT ">
            <m:r>
              <m:rPr>
                <m:sty m:val="p"/>
              </m:rPr>
              <w:rPr>
                <w:rFonts w:ascii="Cambria Math" w:hAnsi="Cambria Math"/>
                <w:noProof/>
              </w:rPr>
              <m:t>6</m:t>
            </m:r>
          </w:fldSimple>
          <m:r>
            <m:rPr>
              <m:sty m:val="p"/>
            </m:rPr>
            <w:rPr>
              <w:rFonts w:ascii="Cambria Math" w:hAnsi="Cambria Math"/>
            </w:rPr>
            <m:t>)</m:t>
          </m:r>
        </m:oMath>
      </m:oMathPara>
    </w:p>
    <w:p w:rsidR="009F5034" w:rsidRDefault="009F5034" w:rsidP="009F5034">
      <w:pPr>
        <w:rPr>
          <w:lang w:eastAsia="en-US"/>
        </w:rPr>
      </w:pPr>
      <w:r>
        <w:rPr>
          <w:lang w:eastAsia="en-US"/>
        </w:rPr>
        <w:t xml:space="preserve">CODENSE then reported the modules that </w:t>
      </w:r>
      <w:r w:rsidR="00C14C68">
        <w:rPr>
          <w:lang w:eastAsia="en-US"/>
        </w:rPr>
        <w:t>meet</w:t>
      </w:r>
      <w:r>
        <w:rPr>
          <w:lang w:eastAsia="en-US"/>
        </w:rPr>
        <w:t xml:space="preserve"> some minimum density threshold, </w:t>
      </w:r>
      <w:r w:rsidRPr="00395FCD">
        <w:rPr>
          <w:i/>
          <w:lang w:eastAsia="en-US"/>
        </w:rPr>
        <w:t>d</w:t>
      </w:r>
      <w:r w:rsidR="00395FCD" w:rsidRPr="00395FCD">
        <w:rPr>
          <w:lang w:eastAsia="en-US"/>
        </w:rPr>
        <w:t>.</w:t>
      </w:r>
      <w:r w:rsidRPr="00395FCD">
        <w:rPr>
          <w:lang w:eastAsia="en-US"/>
        </w:rPr>
        <w:t xml:space="preserve"> At the suggestion of the CODENSE authors and after analyzing the effect pertur</w:t>
      </w:r>
      <w:r w:rsidRPr="00395FCD">
        <w:rPr>
          <w:lang w:eastAsia="en-US"/>
        </w:rPr>
        <w:t>b</w:t>
      </w:r>
      <w:r w:rsidRPr="00395FCD">
        <w:rPr>
          <w:lang w:eastAsia="en-US"/>
        </w:rPr>
        <w:t xml:space="preserve">ing </w:t>
      </w:r>
      <w:r w:rsidRPr="00395FCD">
        <w:rPr>
          <w:i/>
          <w:lang w:eastAsia="en-US"/>
        </w:rPr>
        <w:t>d</w:t>
      </w:r>
      <w:r w:rsidRPr="00395FCD">
        <w:rPr>
          <w:lang w:eastAsia="en-US"/>
        </w:rPr>
        <w:t xml:space="preserve"> has on the number and size of the resulting modules, </w:t>
      </w:r>
      <w:r w:rsidR="00C14C68" w:rsidRPr="00395FCD">
        <w:rPr>
          <w:lang w:eastAsia="en-US"/>
        </w:rPr>
        <w:t>we chose a minimum de</w:t>
      </w:r>
      <w:r w:rsidR="00C14C68" w:rsidRPr="00395FCD">
        <w:rPr>
          <w:lang w:eastAsia="en-US"/>
        </w:rPr>
        <w:t>n</w:t>
      </w:r>
      <w:r w:rsidR="00C14C68" w:rsidRPr="00395FCD">
        <w:rPr>
          <w:lang w:eastAsia="en-US"/>
        </w:rPr>
        <w:t>sity threshold of</w:t>
      </w:r>
      <w:r w:rsidR="00CE45F5">
        <w:rPr>
          <w:lang w:eastAsia="en-US"/>
        </w:rPr>
        <w:t xml:space="preserve"> 0.6. We wanted to maximize our parameter d to ensure dense mo</w:t>
      </w:r>
      <w:r w:rsidR="00CE45F5">
        <w:rPr>
          <w:lang w:eastAsia="en-US"/>
        </w:rPr>
        <w:t>d</w:t>
      </w:r>
      <w:r w:rsidR="00CE45F5">
        <w:rPr>
          <w:lang w:eastAsia="en-US"/>
        </w:rPr>
        <w:t>ules to ensure their biological significant. Note that in figure 2, heightened values of d can produce can drastically affect the output number and size of modules. Our sele</w:t>
      </w:r>
      <w:r w:rsidR="00CE45F5">
        <w:rPr>
          <w:lang w:eastAsia="en-US"/>
        </w:rPr>
        <w:t>c</w:t>
      </w:r>
      <w:r w:rsidR="00CE45F5">
        <w:rPr>
          <w:lang w:eastAsia="en-US"/>
        </w:rPr>
        <w:t xml:space="preserve">tion of d = 0.6 marks the upper limit of where this non-robust behavior starts in our selected parameter space sampling resolution. </w:t>
      </w:r>
      <w:r w:rsidRPr="00395FCD">
        <w:rPr>
          <w:lang w:eastAsia="en-US"/>
        </w:rPr>
        <w:t>At the selected</w:t>
      </w:r>
      <w:r>
        <w:rPr>
          <w:lang w:eastAsia="en-US"/>
        </w:rPr>
        <w:t xml:space="preserve"> parameterization CODENSE </w:t>
      </w:r>
      <w:r w:rsidR="00C14C68">
        <w:rPr>
          <w:lang w:eastAsia="en-US"/>
        </w:rPr>
        <w:t>reported</w:t>
      </w:r>
      <w:r>
        <w:rPr>
          <w:lang w:eastAsia="en-US"/>
        </w:rPr>
        <w:t xml:space="preserve"> 21 dense</w:t>
      </w:r>
      <w:r w:rsidR="00C14C68">
        <w:rPr>
          <w:lang w:eastAsia="en-US"/>
        </w:rPr>
        <w:t>,</w:t>
      </w:r>
      <w:r>
        <w:rPr>
          <w:lang w:eastAsia="en-US"/>
        </w:rPr>
        <w:t xml:space="preserve"> first-order mod</w:t>
      </w:r>
      <w:r w:rsidR="00C14C68">
        <w:rPr>
          <w:lang w:eastAsia="en-US"/>
        </w:rPr>
        <w:t>ules.</w:t>
      </w:r>
      <w:r w:rsidR="00076E82">
        <w:rPr>
          <w:lang w:eastAsia="en-US"/>
        </w:rPr>
        <w:t xml:space="preserve"> These relatively high thresholds will guarantee that our resulting modules will be dense and highly representative of tumors as a whole rather than dominated by signal from just a single tumor of origin </w:t>
      </w:r>
      <w:commentRangeStart w:id="0"/>
      <w:r w:rsidR="00076E82">
        <w:rPr>
          <w:lang w:eastAsia="en-US"/>
        </w:rPr>
        <w:t>(</w:t>
      </w:r>
      <w:r w:rsidR="0022300C">
        <w:rPr>
          <w:lang w:eastAsia="en-US"/>
        </w:rPr>
        <w:t>see Figure 2</w:t>
      </w:r>
      <w:r w:rsidR="00076E82">
        <w:rPr>
          <w:lang w:eastAsia="en-US"/>
        </w:rPr>
        <w:t xml:space="preserve">). </w:t>
      </w:r>
      <w:commentRangeEnd w:id="0"/>
      <w:r w:rsidR="00076E82">
        <w:rPr>
          <w:rStyle w:val="CommentReference"/>
        </w:rPr>
        <w:commentReference w:id="0"/>
      </w:r>
      <w:r w:rsidR="00076E82">
        <w:rPr>
          <w:lang w:eastAsia="en-US"/>
        </w:rPr>
        <w:t>We find that these are necessary steps in order to extract meaningful co</w:t>
      </w:r>
      <w:r w:rsidR="00395FCD">
        <w:rPr>
          <w:lang w:eastAsia="en-US"/>
        </w:rPr>
        <w:t>-</w:t>
      </w:r>
      <w:r w:rsidR="00076E82">
        <w:rPr>
          <w:lang w:eastAsia="en-US"/>
        </w:rPr>
        <w:t>expression from data that is relatively noisy and will so few tumors of origin to work with.</w:t>
      </w:r>
    </w:p>
    <w:p w:rsidR="009F5034" w:rsidRDefault="009F5034" w:rsidP="009F5034">
      <w:pPr>
        <w:rPr>
          <w:lang w:eastAsia="en-US"/>
        </w:rPr>
      </w:pPr>
    </w:p>
    <w:p w:rsidR="009F5034" w:rsidRDefault="009F5034" w:rsidP="004F4B80">
      <w:pPr>
        <w:pStyle w:val="figurecaption"/>
        <w:rPr>
          <w:lang w:eastAsia="en-US"/>
        </w:rPr>
      </w:pPr>
      <w:r w:rsidRPr="006E1083">
        <w:rPr>
          <w:noProof/>
          <w:lang w:eastAsia="en-US"/>
        </w:rPr>
        <w:lastRenderedPageBreak/>
        <w:drawing>
          <wp:inline distT="0" distB="0" distL="0" distR="0">
            <wp:extent cx="4516341" cy="3022176"/>
            <wp:effectExtent l="19050" t="0" r="0" b="0"/>
            <wp:docPr id="2072" name="Picture 24" descr="C:\Users\Student\My Research\Single Cell RNA Seq\Figures\frequencyNetwork_0.3_log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24" descr="C:\Users\Student\My Research\Single Cell RNA Seq\Figures\frequencyNetwork_0.3_logDistribution.png"/>
                    <pic:cNvPicPr>
                      <a:picLocks noChangeAspect="1" noChangeArrowheads="1"/>
                    </pic:cNvPicPr>
                  </pic:nvPicPr>
                  <pic:blipFill>
                    <a:blip r:embed="rId10" cstate="print"/>
                    <a:stretch>
                      <a:fillRect/>
                    </a:stretch>
                  </pic:blipFill>
                  <pic:spPr bwMode="auto">
                    <a:xfrm>
                      <a:off x="0" y="0"/>
                      <a:ext cx="4516341" cy="3022176"/>
                    </a:xfrm>
                    <a:prstGeom prst="rect">
                      <a:avLst/>
                    </a:prstGeom>
                    <a:noFill/>
                  </pic:spPr>
                </pic:pic>
              </a:graphicData>
            </a:graphic>
          </wp:inline>
        </w:drawing>
      </w:r>
      <w:bookmarkStart w:id="1" w:name="_GoBack"/>
      <w:bookmarkEnd w:id="1"/>
    </w:p>
    <w:p w:rsidR="009F5034" w:rsidRDefault="004027C2" w:rsidP="004027C2">
      <w:pPr>
        <w:pStyle w:val="figurecaption"/>
        <w:jc w:val="both"/>
      </w:pPr>
      <w:proofErr w:type="gramStart"/>
      <w:r>
        <w:rPr>
          <w:b/>
        </w:rPr>
        <w:t>Fig.</w:t>
      </w:r>
      <w:proofErr w:type="gramEnd"/>
      <w:r>
        <w:rPr>
          <w:b/>
        </w:rPr>
        <w:t xml:space="preserve"> </w:t>
      </w:r>
      <w:fldSimple w:instr=" SEQ &quot;Figure&quot; \* MERGEFORMAT ">
        <w:r w:rsidR="00EA7E26" w:rsidRPr="00EA7E26">
          <w:rPr>
            <w:b/>
            <w:noProof/>
          </w:rPr>
          <w:t>2</w:t>
        </w:r>
      </w:fldSimple>
      <w:r>
        <w:rPr>
          <w:b/>
        </w:rPr>
        <w:t>.</w:t>
      </w:r>
      <w:r>
        <w:t xml:space="preserve"> </w:t>
      </w:r>
      <w:r w:rsidR="006E1083" w:rsidRPr="004027C2">
        <w:rPr>
          <w:b/>
        </w:rPr>
        <w:t>Parameter Space Exploration</w:t>
      </w:r>
      <w:r w:rsidR="006E1083" w:rsidRPr="006E1083">
        <w:t xml:space="preserve"> </w:t>
      </w:r>
      <w:r w:rsidR="006E1083">
        <w:t>We performed an exhaustive exploration of the param</w:t>
      </w:r>
      <w:r w:rsidR="006E1083">
        <w:t>e</w:t>
      </w:r>
      <w:r w:rsidR="006E1083">
        <w:t xml:space="preserve">ter space involved in the </w:t>
      </w:r>
      <w:r w:rsidR="00A66CB2">
        <w:t xml:space="preserve">cutting of our Spearman’s Rank matrix with parameter </w:t>
      </w:r>
      <w:r w:rsidR="00A66CB2" w:rsidRPr="00A66CB2">
        <w:rPr>
          <w:i/>
        </w:rPr>
        <w:t>c</w:t>
      </w:r>
      <w:r w:rsidR="00A66CB2">
        <w:t xml:space="preserve">, the building of our frequency matrix with parameter </w:t>
      </w:r>
      <w:r w:rsidR="00A66CB2">
        <w:rPr>
          <w:i/>
        </w:rPr>
        <w:t>e,</w:t>
      </w:r>
      <w:r w:rsidR="00A66CB2">
        <w:t xml:space="preserve"> and the filtering of our detected modules with p</w:t>
      </w:r>
      <w:r w:rsidR="00A66CB2">
        <w:t>a</w:t>
      </w:r>
      <w:r w:rsidR="00A66CB2">
        <w:t xml:space="preserve">rameter </w:t>
      </w:r>
      <w:r w:rsidR="00A66CB2">
        <w:rPr>
          <w:i/>
        </w:rPr>
        <w:t>d</w:t>
      </w:r>
      <w:r w:rsidR="00A66CB2">
        <w:t xml:space="preserve">. The top charts </w:t>
      </w:r>
      <w:r w:rsidR="00CF6991">
        <w:t xml:space="preserve">characterize the number of resulting modules, while the bottom two charts characterize the minimum, maximum, </w:t>
      </w:r>
      <w:r w:rsidR="00BD4748">
        <w:t xml:space="preserve">median, </w:t>
      </w:r>
      <w:r w:rsidR="00CF6991">
        <w:t xml:space="preserve">and average number of genes in those resulting modules at various selections of </w:t>
      </w:r>
      <w:r w:rsidR="00CF6991" w:rsidRPr="00CF6991">
        <w:rPr>
          <w:i/>
        </w:rPr>
        <w:t>c</w:t>
      </w:r>
      <w:r w:rsidR="00CF6991">
        <w:t xml:space="preserve">, </w:t>
      </w:r>
      <w:r w:rsidR="00CF6991" w:rsidRPr="00CF6991">
        <w:rPr>
          <w:i/>
        </w:rPr>
        <w:t>e</w:t>
      </w:r>
      <w:r w:rsidR="00CF6991">
        <w:t xml:space="preserve">, and </w:t>
      </w:r>
      <w:r w:rsidR="00CF6991" w:rsidRPr="00CF6991">
        <w:rPr>
          <w:i/>
        </w:rPr>
        <w:t>d</w:t>
      </w:r>
      <w:r w:rsidR="00CF6991">
        <w:t xml:space="preserve">. </w:t>
      </w:r>
      <w:r w:rsidR="006E1083">
        <w:t>Selected parameters are shown in yel</w:t>
      </w:r>
      <w:r w:rsidR="00CF6991">
        <w:t xml:space="preserve">low. They were selected for the desirable number of </w:t>
      </w:r>
      <w:r w:rsidR="00BD4748">
        <w:t xml:space="preserve">resulting </w:t>
      </w:r>
      <w:r w:rsidR="00CF6991">
        <w:t xml:space="preserve">modules and module sizes as well as the robustness of </w:t>
      </w:r>
      <w:r w:rsidR="00F64B0A">
        <w:t>these values in the</w:t>
      </w:r>
      <w:r w:rsidR="00CF6991">
        <w:t xml:space="preserve"> immediate parameter space.</w:t>
      </w:r>
    </w:p>
    <w:p w:rsidR="00B5190D" w:rsidRDefault="00FF0E93" w:rsidP="00B5190D">
      <w:pPr>
        <w:pStyle w:val="heading2"/>
        <w:numPr>
          <w:ilvl w:val="0"/>
          <w:numId w:val="0"/>
        </w:numPr>
        <w:spacing w:before="120" w:after="0"/>
        <w:ind w:left="567"/>
      </w:pPr>
      <w:r w:rsidRPr="00FF0E93">
        <w:rPr>
          <w:b w:val="0"/>
          <w:noProof/>
          <w:lang w:eastAsia="en-US"/>
        </w:rPr>
        <w:pict>
          <v:shape id="_x0000_s1028" type="#_x0000_t32" style="position:absolute;left:0;text-align:left;margin-left:.05pt;margin-top:2.75pt;width:346.6pt;height:.05pt;z-index:251661312" o:connectortype="straight"/>
        </w:pict>
      </w:r>
    </w:p>
    <w:p w:rsidR="005558D2" w:rsidRPr="00BC3376" w:rsidRDefault="00B81038" w:rsidP="00B5190D">
      <w:pPr>
        <w:pStyle w:val="heading2"/>
        <w:spacing w:before="120" w:after="0"/>
      </w:pPr>
      <w:r w:rsidRPr="00BC3376">
        <w:t>Population Tissue Samples</w:t>
      </w:r>
    </w:p>
    <w:p w:rsidR="007A565A" w:rsidRDefault="00B81038" w:rsidP="00B81038">
      <w:r>
        <w:t>Our population</w:t>
      </w:r>
      <w:r w:rsidR="00395FCD">
        <w:t>-</w:t>
      </w:r>
      <w:r>
        <w:t>tissue control comes from GEO accession GSE48865. 27</w:t>
      </w:r>
      <w:r w:rsidR="00D36297">
        <w:t>2</w:t>
      </w:r>
      <w:r>
        <w:t xml:space="preserve"> glioma tissue samples</w:t>
      </w:r>
      <w:r w:rsidR="000E1B4F">
        <w:t xml:space="preserve"> make up this dataset</w:t>
      </w:r>
      <w:r w:rsidR="00E0295A">
        <w:t>,</w:t>
      </w:r>
      <w:r>
        <w:t xml:space="preserve"> of </w:t>
      </w:r>
      <w:r w:rsidR="00E0295A">
        <w:t>which,</w:t>
      </w:r>
      <w:r>
        <w:t xml:space="preserve"> 59 were identified as </w:t>
      </w:r>
      <w:r w:rsidR="00E0295A">
        <w:t xml:space="preserve">primary, </w:t>
      </w:r>
      <w:r>
        <w:t>stage</w:t>
      </w:r>
      <w:r w:rsidR="00E0295A">
        <w:t>-</w:t>
      </w:r>
      <w:r>
        <w:t>4</w:t>
      </w:r>
      <w:r w:rsidR="00E0295A">
        <w:t xml:space="preserve"> glioblastoma</w:t>
      </w:r>
      <w:r w:rsidR="00395FCD">
        <w:t xml:space="preserve"> tissue samples</w:t>
      </w:r>
      <w:r w:rsidR="00E0295A">
        <w:t>.</w:t>
      </w:r>
      <w:r>
        <w:t xml:space="preserve"> </w:t>
      </w:r>
      <w:r w:rsidR="000E1B4F">
        <w:t xml:space="preserve">We filtered out any reads from the 59 samples with more the 10% of its nucleotides designated as unknown bases, and any read with more than 50% of its bases having </w:t>
      </w:r>
      <w:r w:rsidR="007A565A">
        <w:t>Sanger p</w:t>
      </w:r>
      <w:r w:rsidR="000E1B4F">
        <w:t>hred</w:t>
      </w:r>
      <w:r w:rsidR="007A565A">
        <w:t>+</w:t>
      </w:r>
      <w:r w:rsidR="000E1B4F">
        <w:t xml:space="preserve">33 quality scores less than 5. After filtering, we </w:t>
      </w:r>
      <w:r w:rsidR="007A565A">
        <w:t>retained</w:t>
      </w:r>
      <w:r w:rsidR="000E1B4F">
        <w:t xml:space="preserve"> </w:t>
      </w:r>
      <w:r w:rsidR="000E1B4F" w:rsidRPr="000E1B4F">
        <w:t>1</w:t>
      </w:r>
      <w:r w:rsidR="000E1B4F">
        <w:t>,</w:t>
      </w:r>
      <w:r w:rsidR="000E1B4F" w:rsidRPr="000E1B4F">
        <w:t>388</w:t>
      </w:r>
      <w:r w:rsidR="000E1B4F">
        <w:t>,</w:t>
      </w:r>
      <w:r w:rsidR="000E1B4F" w:rsidRPr="000E1B4F">
        <w:t>064</w:t>
      </w:r>
      <w:r w:rsidR="000E1B4F">
        <w:t>,</w:t>
      </w:r>
      <w:r w:rsidR="000E1B4F" w:rsidRPr="000E1B4F">
        <w:t>773</w:t>
      </w:r>
      <w:r w:rsidR="000E1B4F">
        <w:t xml:space="preserve"> reads</w:t>
      </w:r>
      <w:r w:rsidR="007A565A">
        <w:t xml:space="preserve"> in total</w:t>
      </w:r>
      <w:r w:rsidR="000E1B4F">
        <w:t>.</w:t>
      </w:r>
      <w:r w:rsidR="007A565A">
        <w:t xml:space="preserve"> </w:t>
      </w:r>
    </w:p>
    <w:p w:rsidR="005558D2" w:rsidRDefault="007A565A" w:rsidP="00B81038">
      <w:r>
        <w:t xml:space="preserve">Each filtered sample was then aligned to hg19 transcriptome </w:t>
      </w:r>
      <w:r w:rsidR="00254CDB">
        <w:t xml:space="preserve">(GRCh37) </w:t>
      </w:r>
      <w:r>
        <w:t>using bo</w:t>
      </w:r>
      <w:r>
        <w:t>w</w:t>
      </w:r>
      <w:r>
        <w:t>tie (version 1.1.1</w:t>
      </w:r>
      <w:r w:rsidR="009C4593">
        <w:t xml:space="preserve"> with default parameters provided by RSEM</w:t>
      </w:r>
      <w:r>
        <w:t xml:space="preserve">) and TPM values per gene were estimated using RSEM (version 1.2.3). 73% of the </w:t>
      </w:r>
      <w:proofErr w:type="spellStart"/>
      <w:r>
        <w:t>reads</w:t>
      </w:r>
      <w:proofErr w:type="spellEnd"/>
      <w:r>
        <w:t xml:space="preserve"> were aligned su</w:t>
      </w:r>
      <w:r>
        <w:t>c</w:t>
      </w:r>
      <w:r>
        <w:t xml:space="preserve">cessfully either uniquely or multi-mapped. </w:t>
      </w:r>
    </w:p>
    <w:p w:rsidR="008B5C33" w:rsidRDefault="003853C1" w:rsidP="003853C1">
      <w:r>
        <w:t>TPM values were adjusted again as in equation (2). Genes were then filtered to r</w:t>
      </w:r>
      <w:r>
        <w:t>e</w:t>
      </w:r>
      <w:r>
        <w:t xml:space="preserve">tain only those </w:t>
      </w:r>
      <w:r w:rsidR="00254CDB">
        <w:t>that</w:t>
      </w:r>
      <w:r>
        <w:t xml:space="preserve"> were highly expressed across the 59 samples—the </w:t>
      </w:r>
      <w:proofErr w:type="spellStart"/>
      <w:r w:rsidRPr="00395FCD">
        <w:rPr>
          <w:i/>
        </w:rPr>
        <w:t>i</w:t>
      </w:r>
      <w:r w:rsidRPr="00395FCD">
        <w:rPr>
          <w:vertAlign w:val="superscript"/>
        </w:rPr>
        <w:t>th</w:t>
      </w:r>
      <w:proofErr w:type="spellEnd"/>
      <w:r>
        <w:t xml:space="preserve"> gene was filtered out if </w:t>
      </w:r>
      <w:proofErr w:type="spellStart"/>
      <w:r w:rsidRPr="00395FCD">
        <w:rPr>
          <w:i/>
        </w:rPr>
        <w:t>y</w:t>
      </w:r>
      <w:r w:rsidRPr="00395FCD">
        <w:rPr>
          <w:i/>
          <w:vertAlign w:val="subscript"/>
        </w:rPr>
        <w:t>i</w:t>
      </w:r>
      <w:proofErr w:type="spellEnd"/>
      <w:r>
        <w:t xml:space="preserve"> &lt;= 4.5. W</w:t>
      </w:r>
      <w:r w:rsidR="008B5C33">
        <w:t>e retained 6,932 genes</w:t>
      </w:r>
      <w:r>
        <w:t xml:space="preserve"> after filtering</w:t>
      </w:r>
      <w:r w:rsidR="008B5C33">
        <w:t>.</w:t>
      </w:r>
    </w:p>
    <w:p w:rsidR="005113CA" w:rsidRPr="005558D2" w:rsidRDefault="005113CA" w:rsidP="003853C1"/>
    <w:p w:rsidR="00254CDB" w:rsidRPr="00B81038" w:rsidRDefault="00254CDB" w:rsidP="00254CDB">
      <w:pPr>
        <w:pStyle w:val="Heading3"/>
        <w:spacing w:before="0"/>
      </w:pPr>
      <w:r w:rsidRPr="00B81038">
        <w:rPr>
          <w:rStyle w:val="heading30"/>
        </w:rPr>
        <w:t>Network Construction</w:t>
      </w:r>
    </w:p>
    <w:p w:rsidR="00254CDB" w:rsidRDefault="00992075" w:rsidP="00992075">
      <w:r>
        <w:rPr>
          <w:lang w:eastAsia="en-US"/>
        </w:rPr>
        <w:t>Spearman’s Rank correlation was calculated for all genes pair-wise.</w:t>
      </w:r>
      <w:r w:rsidRPr="00992075">
        <w:t xml:space="preserve"> </w:t>
      </w:r>
      <w:r>
        <w:t xml:space="preserve">No further network aggregation step was required for this data set. </w:t>
      </w:r>
    </w:p>
    <w:p w:rsidR="00254CDB" w:rsidRDefault="00254CDB" w:rsidP="00254CDB">
      <w:pPr>
        <w:pStyle w:val="Heading3"/>
        <w:spacing w:before="0"/>
        <w:rPr>
          <w:rStyle w:val="heading30"/>
        </w:rPr>
      </w:pPr>
    </w:p>
    <w:p w:rsidR="00254CDB" w:rsidRDefault="00254CDB" w:rsidP="00254CDB">
      <w:pPr>
        <w:pStyle w:val="Heading3"/>
        <w:spacing w:before="0"/>
      </w:pPr>
      <w:r w:rsidRPr="00254CDB">
        <w:rPr>
          <w:rStyle w:val="heading30"/>
        </w:rPr>
        <w:t>Module Detection</w:t>
      </w:r>
    </w:p>
    <w:p w:rsidR="00992075" w:rsidRPr="00992075" w:rsidRDefault="00430B0F" w:rsidP="00992075">
      <w:r w:rsidRPr="00BC3376">
        <w:t>Quasi-Clique Merger</w:t>
      </w:r>
      <w:r>
        <w:t xml:space="preserve"> (</w:t>
      </w:r>
      <w:proofErr w:type="spellStart"/>
      <w:r>
        <w:t>eQCM</w:t>
      </w:r>
      <w:proofErr w:type="spellEnd"/>
      <w:r>
        <w:t xml:space="preserve">) </w:t>
      </w:r>
      <w:sdt>
        <w:sdtPr>
          <w:id w:val="679203"/>
          <w:citation/>
        </w:sdtPr>
        <w:sdtContent>
          <w:fldSimple w:instr=" CITATION XiangYFAUXiang \l 1033 ">
            <w:r w:rsidR="00395FCD">
              <w:rPr>
                <w:noProof/>
              </w:rPr>
              <w:t>(Xiang Y FAU Xiang, Zhang CQ FAU Zhang, &amp; Huang K FAU Huang)</w:t>
            </w:r>
          </w:fldSimple>
        </w:sdtContent>
      </w:sdt>
      <w:r w:rsidR="00395FCD">
        <w:t xml:space="preserve"> </w:t>
      </w:r>
      <w:r w:rsidR="008A52D1">
        <w:t xml:space="preserve">was employed to mine the modules in the population sample network with parameters: </w:t>
      </w:r>
      <w:r w:rsidR="009F4058" w:rsidRPr="009F4058">
        <w:rPr>
          <w:highlight w:val="yellow"/>
        </w:rPr>
        <w:t>…</w:t>
      </w:r>
      <w:r w:rsidR="00AB4499">
        <w:t xml:space="preserve"> </w:t>
      </w:r>
    </w:p>
    <w:p w:rsidR="009F5034" w:rsidRPr="00B52D82" w:rsidRDefault="009F5034" w:rsidP="004A3E57">
      <w:pPr>
        <w:pStyle w:val="heading2"/>
        <w:rPr>
          <w:lang w:eastAsia="en-US"/>
        </w:rPr>
      </w:pPr>
      <w:r w:rsidRPr="00B52D82">
        <w:rPr>
          <w:lang w:eastAsia="en-US"/>
        </w:rPr>
        <w:t>Enrichment</w:t>
      </w:r>
    </w:p>
    <w:p w:rsidR="00430B0F" w:rsidRDefault="00B81038" w:rsidP="00430B0F">
      <w:r>
        <w:t>Module sets derived from both the single-cell network and population tissue sa</w:t>
      </w:r>
      <w:r>
        <w:t>m</w:t>
      </w:r>
      <w:r>
        <w:t xml:space="preserve">ple network were then ontology enriched. </w:t>
      </w:r>
      <w:r w:rsidR="009F5034">
        <w:t xml:space="preserve">Modules were enriched </w:t>
      </w:r>
      <w:r w:rsidR="009B4AC1">
        <w:t xml:space="preserve">for </w:t>
      </w:r>
      <w:r w:rsidR="003347BE">
        <w:t xml:space="preserve">all </w:t>
      </w:r>
      <w:r w:rsidR="009B4AC1">
        <w:t xml:space="preserve">terms </w:t>
      </w:r>
      <w:r w:rsidR="003347BE">
        <w:t>in</w:t>
      </w:r>
      <w:r w:rsidR="009B4AC1">
        <w:t xml:space="preserve"> </w:t>
      </w:r>
      <w:r w:rsidR="0025048A">
        <w:t xml:space="preserve">Gene </w:t>
      </w:r>
      <w:r w:rsidR="0025048A" w:rsidRPr="0025048A">
        <w:rPr>
          <w:highlight w:val="yellow"/>
        </w:rPr>
        <w:t>Ontology Consortium</w:t>
      </w:r>
      <w:r w:rsidR="0025048A">
        <w:t>’s b</w:t>
      </w:r>
      <w:r w:rsidR="009B4AC1">
        <w:t>iological process (BP), cellular component</w:t>
      </w:r>
      <w:r w:rsidR="00C02BF9">
        <w:t xml:space="preserve"> </w:t>
      </w:r>
      <w:r w:rsidR="009B4AC1">
        <w:t>(CC), and molecular function (MF)</w:t>
      </w:r>
      <w:r w:rsidR="0025048A">
        <w:t xml:space="preserve"> human ontologies </w:t>
      </w:r>
      <w:r w:rsidR="009F5034">
        <w:t xml:space="preserve">using </w:t>
      </w:r>
      <w:r w:rsidR="00C02BF9">
        <w:t xml:space="preserve">the </w:t>
      </w:r>
      <w:r w:rsidR="00C02BF9" w:rsidRPr="0025048A">
        <w:rPr>
          <w:highlight w:val="yellow"/>
        </w:rPr>
        <w:t>David Bioinformatics Resources</w:t>
      </w:r>
      <w:r w:rsidR="00C02BF9">
        <w:t xml:space="preserve"> (version 6.7) Functional Annota</w:t>
      </w:r>
      <w:r w:rsidR="003347BE">
        <w:t xml:space="preserve">tion Tool </w:t>
      </w:r>
      <w:sdt>
        <w:sdtPr>
          <w:id w:val="679220"/>
          <w:citation/>
        </w:sdtPr>
        <w:sdtContent>
          <w:fldSimple w:instr=" CITATION HuangDWFAUHuang \l 1033 ">
            <w:r w:rsidR="009F4058">
              <w:rPr>
                <w:noProof/>
              </w:rPr>
              <w:t>(Huang DW FAU Huang, Sherman BT FAU Sherman, &amp; Lempicki RA FAU Lempicki)</w:t>
            </w:r>
          </w:fldSimple>
        </w:sdtContent>
      </w:sdt>
      <w:sdt>
        <w:sdtPr>
          <w:id w:val="679221"/>
          <w:citation/>
        </w:sdtPr>
        <w:sdtContent>
          <w:fldSimple w:instr=" CITATION HuangDWFAUHuang \l 1033 ">
            <w:r w:rsidR="009F4058">
              <w:rPr>
                <w:noProof/>
              </w:rPr>
              <w:t xml:space="preserve"> (Huang DW FAU Huang, Sherman BT FAU Sherman, &amp; Lempicki RA FAU Lempicki)</w:t>
            </w:r>
          </w:fldSimple>
        </w:sdtContent>
      </w:sdt>
      <w:r w:rsidR="009F4058">
        <w:t>.</w:t>
      </w:r>
    </w:p>
    <w:p w:rsidR="009F5034" w:rsidRDefault="009F5034" w:rsidP="00430B0F">
      <w:pPr>
        <w:pStyle w:val="heading1"/>
      </w:pPr>
      <w:r>
        <w:lastRenderedPageBreak/>
        <w:t>Results</w:t>
      </w:r>
    </w:p>
    <w:p w:rsidR="0025048A" w:rsidRDefault="00992075" w:rsidP="00430B0F">
      <w:pPr>
        <w:pStyle w:val="heading2"/>
        <w:spacing w:before="0"/>
      </w:pPr>
      <w:r>
        <w:t>Single-Cell Module Enrichment</w:t>
      </w:r>
    </w:p>
    <w:p w:rsidR="00992075" w:rsidRPr="00992075" w:rsidRDefault="008A52D1" w:rsidP="00CF6991">
      <w:pPr>
        <w:pStyle w:val="tablecaption"/>
        <w:jc w:val="both"/>
      </w:pPr>
      <w:r w:rsidRPr="00CF6991">
        <w:rPr>
          <w:noProof/>
          <w:lang w:val="en-US" w:eastAsia="en-US"/>
        </w:rPr>
        <w:drawing>
          <wp:inline distT="0" distB="0" distL="0" distR="0">
            <wp:extent cx="4572000" cy="6299875"/>
            <wp:effectExtent l="19050" t="0" r="0" b="0"/>
            <wp:docPr id="2053" name="Picture 12" descr="C:\Users\Student\My Research\Single Cell RNA Seq\Figures\Single Cell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My Research\Single Cell RNA Seq\Figures\Single Cell modules.PNG"/>
                    <pic:cNvPicPr>
                      <a:picLocks noChangeAspect="1" noChangeArrowheads="1"/>
                    </pic:cNvPicPr>
                  </pic:nvPicPr>
                  <pic:blipFill>
                    <a:blip r:embed="rId11" cstate="print"/>
                    <a:srcRect/>
                    <a:stretch>
                      <a:fillRect/>
                    </a:stretch>
                  </pic:blipFill>
                  <pic:spPr bwMode="auto">
                    <a:xfrm>
                      <a:off x="0" y="0"/>
                      <a:ext cx="4572000" cy="6299875"/>
                    </a:xfrm>
                    <a:prstGeom prst="rect">
                      <a:avLst/>
                    </a:prstGeom>
                    <a:noFill/>
                    <a:ln w="9525">
                      <a:noFill/>
                      <a:miter lim="800000"/>
                      <a:headEnd/>
                      <a:tailEnd/>
                    </a:ln>
                  </pic:spPr>
                </pic:pic>
              </a:graphicData>
            </a:graphic>
          </wp:inline>
        </w:drawing>
      </w:r>
    </w:p>
    <w:p w:rsidR="00EC37E6" w:rsidRDefault="008A52D1" w:rsidP="008A52D1">
      <w:pPr>
        <w:pStyle w:val="heading2"/>
      </w:pPr>
      <w:r>
        <w:lastRenderedPageBreak/>
        <w:t xml:space="preserve">Population-Sample </w:t>
      </w:r>
      <w:r w:rsidR="00992075">
        <w:t>Module Enrichment</w:t>
      </w:r>
    </w:p>
    <w:p w:rsidR="008A52D1" w:rsidRDefault="008A52D1" w:rsidP="008A52D1">
      <w:pPr>
        <w:pStyle w:val="image"/>
      </w:pPr>
      <w:r>
        <w:rPr>
          <w:noProof/>
          <w:lang w:eastAsia="en-US"/>
        </w:rPr>
        <w:drawing>
          <wp:inline distT="0" distB="0" distL="0" distR="0">
            <wp:extent cx="4572000" cy="5792420"/>
            <wp:effectExtent l="19050" t="0" r="0" b="0"/>
            <wp:docPr id="2052" name="Picture 11" descr="C:\Users\Student\My Research\Single Cell RNA Seq\Figures\Pop modu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My Research\Single Cell RNA Seq\Figures\Pop modules 1.PNG"/>
                    <pic:cNvPicPr>
                      <a:picLocks noChangeAspect="1" noChangeArrowheads="1"/>
                    </pic:cNvPicPr>
                  </pic:nvPicPr>
                  <pic:blipFill>
                    <a:blip r:embed="rId12" cstate="print"/>
                    <a:srcRect/>
                    <a:stretch>
                      <a:fillRect/>
                    </a:stretch>
                  </pic:blipFill>
                  <pic:spPr bwMode="auto">
                    <a:xfrm>
                      <a:off x="0" y="0"/>
                      <a:ext cx="4572000" cy="5792420"/>
                    </a:xfrm>
                    <a:prstGeom prst="rect">
                      <a:avLst/>
                    </a:prstGeom>
                    <a:noFill/>
                    <a:ln w="9525">
                      <a:noFill/>
                      <a:miter lim="800000"/>
                      <a:headEnd/>
                      <a:tailEnd/>
                    </a:ln>
                  </pic:spPr>
                </pic:pic>
              </a:graphicData>
            </a:graphic>
          </wp:inline>
        </w:drawing>
      </w:r>
    </w:p>
    <w:p w:rsidR="008A52D1" w:rsidRPr="008A52D1" w:rsidRDefault="008A52D1" w:rsidP="008A52D1">
      <w:pPr>
        <w:pStyle w:val="image"/>
        <w:sectPr w:rsidR="008A52D1" w:rsidRPr="008A52D1" w:rsidSect="00B81038">
          <w:footerReference w:type="first" r:id="rId13"/>
          <w:pgSz w:w="11906" w:h="16838" w:code="9"/>
          <w:pgMar w:top="2948" w:right="2494" w:bottom="2948" w:left="2494" w:header="2381" w:footer="2324" w:gutter="0"/>
          <w:cols w:space="708"/>
          <w:titlePg/>
          <w:docGrid w:linePitch="360"/>
        </w:sectPr>
      </w:pPr>
      <w:r>
        <w:rPr>
          <w:noProof/>
          <w:lang w:eastAsia="en-US"/>
        </w:rPr>
        <w:lastRenderedPageBreak/>
        <w:drawing>
          <wp:inline distT="0" distB="0" distL="0" distR="0">
            <wp:extent cx="4572000" cy="5464528"/>
            <wp:effectExtent l="19050" t="0" r="0" b="0"/>
            <wp:docPr id="2051" name="Picture 10" descr="C:\Users\Student\My Research\Single Cell RNA Seq\Figures\Pop modul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My Research\Single Cell RNA Seq\Figures\Pop modules 2.png"/>
                    <pic:cNvPicPr>
                      <a:picLocks noChangeAspect="1" noChangeArrowheads="1"/>
                    </pic:cNvPicPr>
                  </pic:nvPicPr>
                  <pic:blipFill>
                    <a:blip r:embed="rId14" cstate="print"/>
                    <a:srcRect/>
                    <a:stretch>
                      <a:fillRect/>
                    </a:stretch>
                  </pic:blipFill>
                  <pic:spPr bwMode="auto">
                    <a:xfrm>
                      <a:off x="0" y="0"/>
                      <a:ext cx="4572000" cy="5464528"/>
                    </a:xfrm>
                    <a:prstGeom prst="rect">
                      <a:avLst/>
                    </a:prstGeom>
                    <a:noFill/>
                    <a:ln w="9525">
                      <a:noFill/>
                      <a:miter lim="800000"/>
                      <a:headEnd/>
                      <a:tailEnd/>
                    </a:ln>
                  </pic:spPr>
                </pic:pic>
              </a:graphicData>
            </a:graphic>
          </wp:inline>
        </w:drawing>
      </w:r>
    </w:p>
    <w:p w:rsidR="009F5034" w:rsidRDefault="009F5034" w:rsidP="0025048A">
      <w:pPr>
        <w:pStyle w:val="heading1"/>
      </w:pPr>
      <w:r>
        <w:lastRenderedPageBreak/>
        <w:t>Discussion</w:t>
      </w:r>
    </w:p>
    <w:p w:rsidR="009F5034" w:rsidRDefault="009F5034" w:rsidP="009F5034">
      <w:r>
        <w:t>Compare with Yang paper</w:t>
      </w:r>
    </w:p>
    <w:p w:rsidR="009F4058" w:rsidRDefault="009F4058" w:rsidP="009F5034">
      <w:r>
        <w:t xml:space="preserve">Cell cycle and extra cellular matrix ontologies are less </w:t>
      </w:r>
    </w:p>
    <w:p w:rsidR="009F4058" w:rsidRDefault="009F4058" w:rsidP="009F5034"/>
    <w:p w:rsidR="009F5034" w:rsidRDefault="009F5034" w:rsidP="009F5034">
      <w:r>
        <w:t>Caveats:</w:t>
      </w:r>
    </w:p>
    <w:p w:rsidR="009F5034" w:rsidRDefault="009F5034" w:rsidP="009F5034">
      <w:r>
        <w:tab/>
        <w:t>Not many tumors in study and thereby not many original networks before aggregation into frequency network.</w:t>
      </w:r>
    </w:p>
    <w:p w:rsidR="009F5034" w:rsidRDefault="009F5034" w:rsidP="009F5034"/>
    <w:p w:rsidR="009F5034" w:rsidRDefault="009F5034" w:rsidP="009F5034">
      <w:pPr>
        <w:pStyle w:val="heading1"/>
        <w:numPr>
          <w:ilvl w:val="0"/>
          <w:numId w:val="4"/>
        </w:numPr>
      </w:pPr>
      <w:r>
        <w:t>Conclusion</w:t>
      </w:r>
    </w:p>
    <w:p w:rsidR="00904FC8" w:rsidRDefault="00904FC8" w:rsidP="00904FC8">
      <w:pPr>
        <w:pStyle w:val="heading1"/>
      </w:pPr>
      <w:r>
        <w:t>References</w:t>
      </w:r>
    </w:p>
    <w:p w:rsidR="00395FCD" w:rsidRDefault="00FF0E93" w:rsidP="00395FCD">
      <w:pPr>
        <w:pStyle w:val="Bibliography"/>
        <w:rPr>
          <w:noProof/>
        </w:rPr>
      </w:pPr>
      <w:r w:rsidRPr="00FF0E93">
        <w:fldChar w:fldCharType="begin"/>
      </w:r>
      <w:r w:rsidR="00B37D09">
        <w:instrText xml:space="preserve"> BIBLIOGRAPHY  \l 1033 </w:instrText>
      </w:r>
      <w:r w:rsidRPr="00FF0E93">
        <w:fldChar w:fldCharType="separate"/>
      </w:r>
      <w:r w:rsidR="00395FCD">
        <w:rPr>
          <w:noProof/>
        </w:rPr>
        <w:t xml:space="preserve">Bao, Z.-S., Chen, H.-M., Yang, M.-Y., Zhang, C.-B., Yu, K., Ye, W.-L., et al. (2014). RNA-seq of 272 gliomas revealed a novel, recurrent PTPRZ1-MET fusion transcript in secondary glioblastomas. </w:t>
      </w:r>
      <w:r w:rsidR="00395FCD">
        <w:rPr>
          <w:i/>
          <w:iCs/>
          <w:noProof/>
        </w:rPr>
        <w:t>Genome Research</w:t>
      </w:r>
      <w:r w:rsidR="00395FCD">
        <w:rPr>
          <w:noProof/>
        </w:rPr>
        <w:t xml:space="preserve"> </w:t>
      </w:r>
      <w:r w:rsidR="00395FCD">
        <w:rPr>
          <w:i/>
          <w:iCs/>
          <w:noProof/>
        </w:rPr>
        <w:t>, 24</w:t>
      </w:r>
      <w:r w:rsidR="00395FCD">
        <w:rPr>
          <w:noProof/>
        </w:rPr>
        <w:t xml:space="preserve"> (11), 1765-1773.</w:t>
      </w:r>
    </w:p>
    <w:p w:rsidR="00395FCD" w:rsidRDefault="00395FCD" w:rsidP="00395FCD">
      <w:pPr>
        <w:pStyle w:val="Bibliography"/>
        <w:rPr>
          <w:noProof/>
        </w:rPr>
      </w:pPr>
      <w:r>
        <w:rPr>
          <w:noProof/>
        </w:rPr>
        <w:t xml:space="preserve">Hu, H., Yan, X., Huang, Y., Han, J., &amp; Zhou, X. J. (2005). Mining coherent dense subgraphs across massive biological networks for functional discovery. </w:t>
      </w:r>
      <w:r>
        <w:rPr>
          <w:i/>
          <w:iCs/>
          <w:noProof/>
        </w:rPr>
        <w:t>Bioinformatics</w:t>
      </w:r>
      <w:r>
        <w:rPr>
          <w:noProof/>
        </w:rPr>
        <w:t xml:space="preserve"> </w:t>
      </w:r>
      <w:r>
        <w:rPr>
          <w:i/>
          <w:iCs/>
          <w:noProof/>
        </w:rPr>
        <w:t>, 21</w:t>
      </w:r>
      <w:r>
        <w:rPr>
          <w:noProof/>
        </w:rPr>
        <w:t xml:space="preserve"> (suppl 1), i213-i221.</w:t>
      </w:r>
    </w:p>
    <w:p w:rsidR="00395FCD" w:rsidRDefault="00395FCD" w:rsidP="00395FCD">
      <w:pPr>
        <w:pStyle w:val="Bibliography"/>
        <w:rPr>
          <w:noProof/>
        </w:rPr>
      </w:pPr>
      <w:r>
        <w:rPr>
          <w:noProof/>
        </w:rPr>
        <w:t xml:space="preserve">Huang DW FAU Huang, D. W., Sherman BT FAU Sherman, B. T., &amp; Lempicki RA FAU Lempicki, R. A. (n.d.). Bioinformatics enrichment tools: paths toward the comprehensive functional analysis of large gene lists. </w:t>
      </w:r>
      <w:r>
        <w:rPr>
          <w:i/>
          <w:iCs/>
          <w:noProof/>
        </w:rPr>
        <w:t>Bioinformatics enrichment tools: paths toward the comprehensive functional analysis of large gene lists</w:t>
      </w:r>
      <w:r>
        <w:rPr>
          <w:noProof/>
        </w:rPr>
        <w:t xml:space="preserve"> </w:t>
      </w:r>
      <w:r>
        <w:rPr>
          <w:i/>
          <w:iCs/>
          <w:noProof/>
        </w:rPr>
        <w:t>(1362-4962 (Electronic))</w:t>
      </w:r>
      <w:r>
        <w:rPr>
          <w:noProof/>
        </w:rPr>
        <w:t xml:space="preserve"> , --.</w:t>
      </w:r>
    </w:p>
    <w:p w:rsidR="00395FCD" w:rsidRDefault="00395FCD" w:rsidP="00395FCD">
      <w:pPr>
        <w:pStyle w:val="Bibliography"/>
        <w:rPr>
          <w:noProof/>
        </w:rPr>
      </w:pPr>
      <w:r>
        <w:rPr>
          <w:noProof/>
        </w:rPr>
        <w:t xml:space="preserve">Huang, D. W., Sherman, B. T., &amp; Lempicki, R. A. (2008). Systematic and integrative analysis of large gene lists using DAVID bioinformatics resources. </w:t>
      </w:r>
      <w:r>
        <w:rPr>
          <w:i/>
          <w:iCs/>
          <w:noProof/>
        </w:rPr>
        <w:t>Nat. Protocols</w:t>
      </w:r>
      <w:r>
        <w:rPr>
          <w:noProof/>
        </w:rPr>
        <w:t xml:space="preserve"> </w:t>
      </w:r>
      <w:r>
        <w:rPr>
          <w:i/>
          <w:iCs/>
          <w:noProof/>
        </w:rPr>
        <w:t>, 4</w:t>
      </w:r>
      <w:r>
        <w:rPr>
          <w:noProof/>
        </w:rPr>
        <w:t xml:space="preserve"> (1), 44-57.</w:t>
      </w:r>
    </w:p>
    <w:p w:rsidR="00395FCD" w:rsidRDefault="00395FCD" w:rsidP="00395FCD">
      <w:pPr>
        <w:pStyle w:val="Bibliography"/>
        <w:rPr>
          <w:noProof/>
        </w:rPr>
      </w:pPr>
      <w:r>
        <w:rPr>
          <w:noProof/>
        </w:rPr>
        <w:t xml:space="preserve">Langmead, B., Trapnell, C., Pop, M., &amp; Salzberg, S. (2009). Ultrafast and memory-efficient alignment of short DNA sequences to the human genome. </w:t>
      </w:r>
      <w:r>
        <w:rPr>
          <w:i/>
          <w:iCs/>
          <w:noProof/>
        </w:rPr>
        <w:t>Genome Biology</w:t>
      </w:r>
      <w:r>
        <w:rPr>
          <w:noProof/>
        </w:rPr>
        <w:t xml:space="preserve"> </w:t>
      </w:r>
      <w:r>
        <w:rPr>
          <w:i/>
          <w:iCs/>
          <w:noProof/>
        </w:rPr>
        <w:t>, 10</w:t>
      </w:r>
      <w:r>
        <w:rPr>
          <w:noProof/>
        </w:rPr>
        <w:t xml:space="preserve"> (3), R25.</w:t>
      </w:r>
    </w:p>
    <w:p w:rsidR="00395FCD" w:rsidRDefault="00395FCD" w:rsidP="00395FCD">
      <w:pPr>
        <w:pStyle w:val="Bibliography"/>
        <w:rPr>
          <w:noProof/>
        </w:rPr>
      </w:pPr>
      <w:r>
        <w:rPr>
          <w:noProof/>
        </w:rPr>
        <w:t xml:space="preserve">Li, B., &amp; Dewey, C. (2011). RSEM: accurate transcript quantification from RNA-Seq data with or without a reference genome. </w:t>
      </w:r>
      <w:r>
        <w:rPr>
          <w:i/>
          <w:iCs/>
          <w:noProof/>
        </w:rPr>
        <w:t>BMC Bioinformatics</w:t>
      </w:r>
      <w:r>
        <w:rPr>
          <w:noProof/>
        </w:rPr>
        <w:t xml:space="preserve"> </w:t>
      </w:r>
      <w:r>
        <w:rPr>
          <w:i/>
          <w:iCs/>
          <w:noProof/>
        </w:rPr>
        <w:t>, 12</w:t>
      </w:r>
      <w:r>
        <w:rPr>
          <w:noProof/>
        </w:rPr>
        <w:t xml:space="preserve"> (1), 323.</w:t>
      </w:r>
    </w:p>
    <w:p w:rsidR="00395FCD" w:rsidRDefault="00395FCD" w:rsidP="00395FCD">
      <w:pPr>
        <w:pStyle w:val="Bibliography"/>
        <w:rPr>
          <w:noProof/>
        </w:rPr>
      </w:pPr>
      <w:r>
        <w:rPr>
          <w:noProof/>
        </w:rPr>
        <w:t xml:space="preserve">Patel, A. P., Tirosh, I., Trombetta, J. J., Shalek, A. K., Gillespie, S. M., Wakimoto, H., et al. (2014). Single-cell RNA-seq highlights intratumoral heterogeneity in primary glioblastoma. </w:t>
      </w:r>
      <w:r>
        <w:rPr>
          <w:i/>
          <w:iCs/>
          <w:noProof/>
        </w:rPr>
        <w:t>Science</w:t>
      </w:r>
      <w:r>
        <w:rPr>
          <w:noProof/>
        </w:rPr>
        <w:t xml:space="preserve"> </w:t>
      </w:r>
      <w:r>
        <w:rPr>
          <w:i/>
          <w:iCs/>
          <w:noProof/>
        </w:rPr>
        <w:t>, 344</w:t>
      </w:r>
      <w:r>
        <w:rPr>
          <w:noProof/>
        </w:rPr>
        <w:t xml:space="preserve"> (6190), 1396-1401.</w:t>
      </w:r>
    </w:p>
    <w:p w:rsidR="00395FCD" w:rsidRDefault="00395FCD" w:rsidP="00395FCD">
      <w:pPr>
        <w:pStyle w:val="Bibliography"/>
        <w:rPr>
          <w:noProof/>
        </w:rPr>
      </w:pPr>
      <w:r>
        <w:rPr>
          <w:noProof/>
        </w:rPr>
        <w:t xml:space="preserve">Xiang Y FAU Xiang, Y., Zhang CQ FAU Zhang, C.-Q., &amp; Huang K FAU Huang, K. (n.d.). Predicting glioblastoma prognosis networks using weighted gene co-expression network analysis on TCGA data. </w:t>
      </w:r>
      <w:r>
        <w:rPr>
          <w:i/>
          <w:iCs/>
          <w:noProof/>
        </w:rPr>
        <w:t>Predicting glioblastoma prognosis networks using weighted gene co-expression network analysis on TCGA data</w:t>
      </w:r>
      <w:r>
        <w:rPr>
          <w:noProof/>
        </w:rPr>
        <w:t xml:space="preserve"> </w:t>
      </w:r>
      <w:r>
        <w:rPr>
          <w:i/>
          <w:iCs/>
          <w:noProof/>
        </w:rPr>
        <w:t>(1471-2105 (Electronic))</w:t>
      </w:r>
      <w:r>
        <w:rPr>
          <w:noProof/>
        </w:rPr>
        <w:t xml:space="preserve"> , --. The Comprehensive Cancer Center Biomedical Informatics Shared Resource, The Ohio State University, Columbus, USA.</w:t>
      </w:r>
    </w:p>
    <w:p w:rsidR="00395FCD" w:rsidRDefault="00395FCD" w:rsidP="00395FCD">
      <w:pPr>
        <w:pStyle w:val="Bibliography"/>
        <w:rPr>
          <w:noProof/>
        </w:rPr>
      </w:pPr>
      <w:r>
        <w:rPr>
          <w:noProof/>
        </w:rPr>
        <w:lastRenderedPageBreak/>
        <w:t xml:space="preserve">Zhang, J. a.-w. (2012). Weighted Frequent Gene Co-expression Network Mining to Identify Genes Involved in Genome Stability. </w:t>
      </w:r>
      <w:r>
        <w:rPr>
          <w:i/>
          <w:iCs/>
          <w:noProof/>
        </w:rPr>
        <w:t>PLoS Comput Biol</w:t>
      </w:r>
      <w:r>
        <w:rPr>
          <w:noProof/>
        </w:rPr>
        <w:t xml:space="preserve"> </w:t>
      </w:r>
      <w:r>
        <w:rPr>
          <w:i/>
          <w:iCs/>
          <w:noProof/>
        </w:rPr>
        <w:t>, 8</w:t>
      </w:r>
      <w:r>
        <w:rPr>
          <w:noProof/>
        </w:rPr>
        <w:t xml:space="preserve"> (8), e1002656.</w:t>
      </w:r>
    </w:p>
    <w:p w:rsidR="005F3CD7" w:rsidRPr="009F5034" w:rsidRDefault="00FF0E93" w:rsidP="00395FCD">
      <w:pPr>
        <w:pStyle w:val="referenceitem"/>
        <w:numPr>
          <w:ilvl w:val="0"/>
          <w:numId w:val="0"/>
        </w:numPr>
      </w:pPr>
      <w:r>
        <w:fldChar w:fldCharType="end"/>
      </w:r>
    </w:p>
    <w:sectPr w:rsidR="005F3CD7" w:rsidRPr="009F5034" w:rsidSect="000E1B4F">
      <w:pgSz w:w="11906" w:h="16838" w:code="9"/>
      <w:pgMar w:top="2948" w:right="2494" w:bottom="2948" w:left="2494" w:header="2381" w:footer="232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Brian" w:date="2015-02-18T12:13:00Z" w:initials="B">
    <w:p w:rsidR="00076E82" w:rsidRDefault="00076E82">
      <w:pPr>
        <w:pStyle w:val="CommentText"/>
      </w:pPr>
      <w:r>
        <w:rPr>
          <w:rStyle w:val="CommentReference"/>
        </w:rPr>
        <w:annotationRef/>
      </w:r>
      <w:r>
        <w:t xml:space="preserve">Need to generate box plot of module size </w:t>
      </w:r>
      <w:proofErr w:type="spellStart"/>
      <w:r>
        <w:t>vs</w:t>
      </w:r>
      <w:proofErr w:type="spellEnd"/>
      <w:r>
        <w:t xml:space="preserve"> d cut off.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2F3E" w:rsidRDefault="004E2F3E">
      <w:r>
        <w:separator/>
      </w:r>
    </w:p>
  </w:endnote>
  <w:endnote w:type="continuationSeparator" w:id="0">
    <w:p w:rsidR="004E2F3E" w:rsidRDefault="004E2F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667" w:rsidRPr="00CE7667" w:rsidRDefault="00CE7667" w:rsidP="00CE7667">
    <w:pPr>
      <w:pStyle w:val="ReferenceLine"/>
      <w:rPr>
        <w:lang w:val="de-DE"/>
      </w:rPr>
    </w:pPr>
    <w:r w:rsidRPr="00CE7667">
      <w:rPr>
        <w:lang w:val="de-DE"/>
      </w:rPr>
      <w:t xml:space="preserve">adfa, p. </w:t>
    </w:r>
    <w:r w:rsidR="00FF0E93">
      <w:fldChar w:fldCharType="begin"/>
    </w:r>
    <w:r w:rsidRPr="00CE7667">
      <w:rPr>
        <w:lang w:val="de-DE"/>
      </w:rPr>
      <w:instrText xml:space="preserve"> PAGE  \* Arabic  \* MERGEFORMAT </w:instrText>
    </w:r>
    <w:r w:rsidR="00FF0E93">
      <w:fldChar w:fldCharType="separate"/>
    </w:r>
    <w:r w:rsidR="00B3408E">
      <w:rPr>
        <w:noProof/>
        <w:lang w:val="de-DE"/>
      </w:rPr>
      <w:t>9</w:t>
    </w:r>
    <w:r w:rsidR="00FF0E93">
      <w:fldChar w:fldCharType="end"/>
    </w:r>
    <w:r w:rsidRPr="00CE7667">
      <w:rPr>
        <w:lang w:val="de-DE"/>
      </w:rPr>
      <w:t>, 2011.</w:t>
    </w:r>
  </w:p>
  <w:p w:rsidR="00CE7667" w:rsidRPr="00CE7667" w:rsidRDefault="00CE7667" w:rsidP="00CE7667">
    <w:pPr>
      <w:pStyle w:val="ReferenceLine"/>
      <w:rPr>
        <w:lang w:val="de-DE"/>
      </w:rPr>
    </w:pPr>
    <w:r w:rsidRPr="00CE7667">
      <w:rPr>
        <w:lang w:val="de-DE"/>
      </w:rPr>
      <w:t>© Springer-Verlag Berlin Heidelberg 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2F3E" w:rsidRDefault="004E2F3E" w:rsidP="00895F20">
      <w:pPr>
        <w:ind w:firstLine="0"/>
      </w:pPr>
      <w:r>
        <w:separator/>
      </w:r>
    </w:p>
  </w:footnote>
  <w:footnote w:type="continuationSeparator" w:id="0">
    <w:p w:rsidR="004E2F3E" w:rsidRDefault="004E2F3E" w:rsidP="00895F20">
      <w:pPr>
        <w:ind w:firstLin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nsid w:val="32A64DD6"/>
    <w:multiLevelType w:val="hybridMultilevel"/>
    <w:tmpl w:val="94086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3">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7">
    <w:nsid w:val="7D9521C8"/>
    <w:multiLevelType w:val="multilevel"/>
    <w:tmpl w:val="0AB8B57C"/>
    <w:styleLink w:val="referencelist"/>
    <w:lvl w:ilvl="0">
      <w:start w:val="1"/>
      <w:numFmt w:val="decimal"/>
      <w:pStyle w:val="referenceitem"/>
      <w:lvlText w:val="%1."/>
      <w:lvlJc w:val="right"/>
      <w:pPr>
        <w:tabs>
          <w:tab w:val="num" w:pos="226"/>
        </w:tabs>
        <w:ind w:left="226" w:hanging="113"/>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6"/>
  </w:num>
  <w:num w:numId="2">
    <w:abstractNumId w:val="10"/>
  </w:num>
  <w:num w:numId="3">
    <w:abstractNumId w:val="14"/>
  </w:num>
  <w:num w:numId="4">
    <w:abstractNumId w:val="15"/>
  </w:num>
  <w:num w:numId="5">
    <w:abstractNumId w:val="17"/>
  </w:num>
  <w:num w:numId="6">
    <w:abstractNumId w:val="13"/>
  </w:num>
  <w:num w:numId="7">
    <w:abstractNumId w:val="9"/>
  </w:num>
  <w:num w:numId="8">
    <w:abstractNumId w:val="15"/>
  </w:num>
  <w:num w:numId="9">
    <w:abstractNumId w:val="8"/>
  </w:num>
  <w:num w:numId="10">
    <w:abstractNumId w:val="17"/>
  </w:num>
  <w:num w:numId="11">
    <w:abstractNumId w:val="10"/>
  </w:num>
  <w:num w:numId="12">
    <w:abstractNumId w:val="14"/>
  </w:num>
  <w:num w:numId="13">
    <w:abstractNumId w:val="12"/>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stylePaneFormatFilter w:val="0001"/>
  <w:defaultTabStop w:val="708"/>
  <w:autoHyphenation/>
  <w:hyphenationZone w:val="400"/>
  <w:doNotHyphenateCaps/>
  <w:evenAndOddHeaders/>
  <w:drawingGridHorizontalSpacing w:val="100"/>
  <w:displayHorizont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FELayout/>
  </w:compat>
  <w:rsids>
    <w:rsidRoot w:val="00E324BC"/>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740BE"/>
    <w:rsid w:val="0007498B"/>
    <w:rsid w:val="0007593C"/>
    <w:rsid w:val="00076E82"/>
    <w:rsid w:val="0008374A"/>
    <w:rsid w:val="00090710"/>
    <w:rsid w:val="00090731"/>
    <w:rsid w:val="00090DC8"/>
    <w:rsid w:val="000927C5"/>
    <w:rsid w:val="00092FA6"/>
    <w:rsid w:val="000934BA"/>
    <w:rsid w:val="00094656"/>
    <w:rsid w:val="000A2E55"/>
    <w:rsid w:val="000B1E82"/>
    <w:rsid w:val="000B2266"/>
    <w:rsid w:val="000B7E4C"/>
    <w:rsid w:val="000C006D"/>
    <w:rsid w:val="000C04F0"/>
    <w:rsid w:val="000C4C8F"/>
    <w:rsid w:val="000C5357"/>
    <w:rsid w:val="000D16FA"/>
    <w:rsid w:val="000D3597"/>
    <w:rsid w:val="000D6D27"/>
    <w:rsid w:val="000E071F"/>
    <w:rsid w:val="000E1B4F"/>
    <w:rsid w:val="000F0DC5"/>
    <w:rsid w:val="000F1F28"/>
    <w:rsid w:val="000F32D3"/>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C2DBA"/>
    <w:rsid w:val="001C6EF7"/>
    <w:rsid w:val="001D1295"/>
    <w:rsid w:val="001D3E27"/>
    <w:rsid w:val="001D53EB"/>
    <w:rsid w:val="001E21AD"/>
    <w:rsid w:val="001E3A57"/>
    <w:rsid w:val="001E7AA0"/>
    <w:rsid w:val="001F5439"/>
    <w:rsid w:val="00204E89"/>
    <w:rsid w:val="00206C7B"/>
    <w:rsid w:val="00210248"/>
    <w:rsid w:val="00210DB8"/>
    <w:rsid w:val="0021134D"/>
    <w:rsid w:val="00212511"/>
    <w:rsid w:val="00213A7D"/>
    <w:rsid w:val="00214AC2"/>
    <w:rsid w:val="00216A30"/>
    <w:rsid w:val="002224E1"/>
    <w:rsid w:val="0022300C"/>
    <w:rsid w:val="0022605F"/>
    <w:rsid w:val="00226E54"/>
    <w:rsid w:val="00227960"/>
    <w:rsid w:val="0023086D"/>
    <w:rsid w:val="00230C00"/>
    <w:rsid w:val="0023104F"/>
    <w:rsid w:val="00231803"/>
    <w:rsid w:val="002354AE"/>
    <w:rsid w:val="0024075B"/>
    <w:rsid w:val="00240D33"/>
    <w:rsid w:val="0024529B"/>
    <w:rsid w:val="0025048A"/>
    <w:rsid w:val="002542EE"/>
    <w:rsid w:val="00254CDB"/>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C4C96"/>
    <w:rsid w:val="002D34CD"/>
    <w:rsid w:val="002E323E"/>
    <w:rsid w:val="002E36AF"/>
    <w:rsid w:val="002E523D"/>
    <w:rsid w:val="002E5AD3"/>
    <w:rsid w:val="002E6BA4"/>
    <w:rsid w:val="002F3CD1"/>
    <w:rsid w:val="002F3D2A"/>
    <w:rsid w:val="0030124A"/>
    <w:rsid w:val="003025D3"/>
    <w:rsid w:val="00303C89"/>
    <w:rsid w:val="00305345"/>
    <w:rsid w:val="00307282"/>
    <w:rsid w:val="00307D1B"/>
    <w:rsid w:val="00312F45"/>
    <w:rsid w:val="0031466D"/>
    <w:rsid w:val="00316E8F"/>
    <w:rsid w:val="003347BE"/>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53C1"/>
    <w:rsid w:val="00387D30"/>
    <w:rsid w:val="00394942"/>
    <w:rsid w:val="003949F3"/>
    <w:rsid w:val="00395FCD"/>
    <w:rsid w:val="003A3A01"/>
    <w:rsid w:val="003B0216"/>
    <w:rsid w:val="003B13D1"/>
    <w:rsid w:val="003B2F07"/>
    <w:rsid w:val="003B33F7"/>
    <w:rsid w:val="003B7599"/>
    <w:rsid w:val="003C1A34"/>
    <w:rsid w:val="003C3B83"/>
    <w:rsid w:val="003C4911"/>
    <w:rsid w:val="003C5BCA"/>
    <w:rsid w:val="003D0DEA"/>
    <w:rsid w:val="003D651A"/>
    <w:rsid w:val="003D6CE6"/>
    <w:rsid w:val="003D6D1F"/>
    <w:rsid w:val="003D6DAC"/>
    <w:rsid w:val="003E2A5E"/>
    <w:rsid w:val="003E3032"/>
    <w:rsid w:val="003E5A23"/>
    <w:rsid w:val="003F185F"/>
    <w:rsid w:val="003F1DCF"/>
    <w:rsid w:val="003F4765"/>
    <w:rsid w:val="003F65A6"/>
    <w:rsid w:val="004027C2"/>
    <w:rsid w:val="0041204E"/>
    <w:rsid w:val="00414563"/>
    <w:rsid w:val="0041626B"/>
    <w:rsid w:val="00423551"/>
    <w:rsid w:val="00423F1B"/>
    <w:rsid w:val="00426C62"/>
    <w:rsid w:val="0042772B"/>
    <w:rsid w:val="00430B0F"/>
    <w:rsid w:val="004328A0"/>
    <w:rsid w:val="00433441"/>
    <w:rsid w:val="00435214"/>
    <w:rsid w:val="00435D07"/>
    <w:rsid w:val="00436948"/>
    <w:rsid w:val="0043737C"/>
    <w:rsid w:val="0044009C"/>
    <w:rsid w:val="0044262B"/>
    <w:rsid w:val="00442A6C"/>
    <w:rsid w:val="004435BA"/>
    <w:rsid w:val="00444190"/>
    <w:rsid w:val="00445225"/>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154"/>
    <w:rsid w:val="004956C3"/>
    <w:rsid w:val="00495761"/>
    <w:rsid w:val="00497AD6"/>
    <w:rsid w:val="004A3E57"/>
    <w:rsid w:val="004A78E3"/>
    <w:rsid w:val="004C20E7"/>
    <w:rsid w:val="004C2656"/>
    <w:rsid w:val="004C2812"/>
    <w:rsid w:val="004D189F"/>
    <w:rsid w:val="004D49E8"/>
    <w:rsid w:val="004D4E83"/>
    <w:rsid w:val="004D6665"/>
    <w:rsid w:val="004D7C52"/>
    <w:rsid w:val="004E0C9D"/>
    <w:rsid w:val="004E2F3E"/>
    <w:rsid w:val="004F16B4"/>
    <w:rsid w:val="004F4B80"/>
    <w:rsid w:val="004F6474"/>
    <w:rsid w:val="00500895"/>
    <w:rsid w:val="005010B4"/>
    <w:rsid w:val="00501B8C"/>
    <w:rsid w:val="0050369B"/>
    <w:rsid w:val="00504743"/>
    <w:rsid w:val="005113CA"/>
    <w:rsid w:val="00511908"/>
    <w:rsid w:val="00512421"/>
    <w:rsid w:val="0051658B"/>
    <w:rsid w:val="00521BC8"/>
    <w:rsid w:val="0052599C"/>
    <w:rsid w:val="00531E07"/>
    <w:rsid w:val="0053704E"/>
    <w:rsid w:val="0053710F"/>
    <w:rsid w:val="005377DD"/>
    <w:rsid w:val="005558D2"/>
    <w:rsid w:val="00564ED7"/>
    <w:rsid w:val="00571515"/>
    <w:rsid w:val="00577B85"/>
    <w:rsid w:val="005808CB"/>
    <w:rsid w:val="005846B6"/>
    <w:rsid w:val="00584C20"/>
    <w:rsid w:val="00591219"/>
    <w:rsid w:val="005A2E29"/>
    <w:rsid w:val="005A5F79"/>
    <w:rsid w:val="005B0EF1"/>
    <w:rsid w:val="005B32AC"/>
    <w:rsid w:val="005B3D33"/>
    <w:rsid w:val="005C33CB"/>
    <w:rsid w:val="005C70FB"/>
    <w:rsid w:val="005D172C"/>
    <w:rsid w:val="005E026B"/>
    <w:rsid w:val="005E316C"/>
    <w:rsid w:val="005F3CD7"/>
    <w:rsid w:val="005F4EB3"/>
    <w:rsid w:val="00604BA8"/>
    <w:rsid w:val="006052E9"/>
    <w:rsid w:val="0061213E"/>
    <w:rsid w:val="0061522E"/>
    <w:rsid w:val="00616817"/>
    <w:rsid w:val="00623247"/>
    <w:rsid w:val="006258CB"/>
    <w:rsid w:val="00625C35"/>
    <w:rsid w:val="00625C3B"/>
    <w:rsid w:val="00627D6A"/>
    <w:rsid w:val="00631A9F"/>
    <w:rsid w:val="00637DFE"/>
    <w:rsid w:val="00642073"/>
    <w:rsid w:val="006469B8"/>
    <w:rsid w:val="00650CEB"/>
    <w:rsid w:val="00653A1B"/>
    <w:rsid w:val="0065405B"/>
    <w:rsid w:val="00656155"/>
    <w:rsid w:val="00661BEB"/>
    <w:rsid w:val="0066250C"/>
    <w:rsid w:val="006713CE"/>
    <w:rsid w:val="00673747"/>
    <w:rsid w:val="00674CEB"/>
    <w:rsid w:val="006750C2"/>
    <w:rsid w:val="006778FD"/>
    <w:rsid w:val="0068057D"/>
    <w:rsid w:val="006820E1"/>
    <w:rsid w:val="006856F2"/>
    <w:rsid w:val="00690F07"/>
    <w:rsid w:val="006968F0"/>
    <w:rsid w:val="006A1D3F"/>
    <w:rsid w:val="006A4741"/>
    <w:rsid w:val="006A5D0F"/>
    <w:rsid w:val="006A645F"/>
    <w:rsid w:val="006B184A"/>
    <w:rsid w:val="006C0AD3"/>
    <w:rsid w:val="006C74CC"/>
    <w:rsid w:val="006D63CD"/>
    <w:rsid w:val="006E00D5"/>
    <w:rsid w:val="006E031A"/>
    <w:rsid w:val="006E1083"/>
    <w:rsid w:val="006F077C"/>
    <w:rsid w:val="006F1F04"/>
    <w:rsid w:val="006F257F"/>
    <w:rsid w:val="007027E6"/>
    <w:rsid w:val="0070371D"/>
    <w:rsid w:val="00706A12"/>
    <w:rsid w:val="00707B97"/>
    <w:rsid w:val="00714E9D"/>
    <w:rsid w:val="00715950"/>
    <w:rsid w:val="00717E66"/>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48D7"/>
    <w:rsid w:val="007A52AC"/>
    <w:rsid w:val="007A565A"/>
    <w:rsid w:val="007B722C"/>
    <w:rsid w:val="007C1B8F"/>
    <w:rsid w:val="007C3CD5"/>
    <w:rsid w:val="007C7941"/>
    <w:rsid w:val="007D0A21"/>
    <w:rsid w:val="007D1350"/>
    <w:rsid w:val="007D3F01"/>
    <w:rsid w:val="007E0352"/>
    <w:rsid w:val="007F3BF6"/>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52D1"/>
    <w:rsid w:val="008A6E4E"/>
    <w:rsid w:val="008A7007"/>
    <w:rsid w:val="008A7B46"/>
    <w:rsid w:val="008A7B4E"/>
    <w:rsid w:val="008B1558"/>
    <w:rsid w:val="008B225D"/>
    <w:rsid w:val="008B25C8"/>
    <w:rsid w:val="008B3CC1"/>
    <w:rsid w:val="008B40E2"/>
    <w:rsid w:val="008B42D1"/>
    <w:rsid w:val="008B4C1F"/>
    <w:rsid w:val="008B50BD"/>
    <w:rsid w:val="008B50BF"/>
    <w:rsid w:val="008B5C33"/>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2F5F"/>
    <w:rsid w:val="009032EA"/>
    <w:rsid w:val="00904FC8"/>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90BBC"/>
    <w:rsid w:val="00991EFC"/>
    <w:rsid w:val="00992075"/>
    <w:rsid w:val="00993021"/>
    <w:rsid w:val="009935A9"/>
    <w:rsid w:val="00995A25"/>
    <w:rsid w:val="00997385"/>
    <w:rsid w:val="009A1677"/>
    <w:rsid w:val="009A2666"/>
    <w:rsid w:val="009A3855"/>
    <w:rsid w:val="009A411B"/>
    <w:rsid w:val="009A5950"/>
    <w:rsid w:val="009B4AC1"/>
    <w:rsid w:val="009C1123"/>
    <w:rsid w:val="009C1481"/>
    <w:rsid w:val="009C3E60"/>
    <w:rsid w:val="009C411C"/>
    <w:rsid w:val="009C439C"/>
    <w:rsid w:val="009C4593"/>
    <w:rsid w:val="009D5432"/>
    <w:rsid w:val="009D627C"/>
    <w:rsid w:val="009E0616"/>
    <w:rsid w:val="009E102C"/>
    <w:rsid w:val="009E388E"/>
    <w:rsid w:val="009E4E69"/>
    <w:rsid w:val="009E649D"/>
    <w:rsid w:val="009F4058"/>
    <w:rsid w:val="009F5034"/>
    <w:rsid w:val="009F73DF"/>
    <w:rsid w:val="009F7FCE"/>
    <w:rsid w:val="00A01B64"/>
    <w:rsid w:val="00A06578"/>
    <w:rsid w:val="00A10B22"/>
    <w:rsid w:val="00A176B4"/>
    <w:rsid w:val="00A24F12"/>
    <w:rsid w:val="00A26231"/>
    <w:rsid w:val="00A2627C"/>
    <w:rsid w:val="00A26846"/>
    <w:rsid w:val="00A32D1E"/>
    <w:rsid w:val="00A33255"/>
    <w:rsid w:val="00A3516F"/>
    <w:rsid w:val="00A35229"/>
    <w:rsid w:val="00A37FEA"/>
    <w:rsid w:val="00A42D6A"/>
    <w:rsid w:val="00A442F2"/>
    <w:rsid w:val="00A504B6"/>
    <w:rsid w:val="00A52DF4"/>
    <w:rsid w:val="00A57525"/>
    <w:rsid w:val="00A652A7"/>
    <w:rsid w:val="00A660FE"/>
    <w:rsid w:val="00A66CB2"/>
    <w:rsid w:val="00A7025C"/>
    <w:rsid w:val="00A81874"/>
    <w:rsid w:val="00A82F18"/>
    <w:rsid w:val="00A83872"/>
    <w:rsid w:val="00A85F41"/>
    <w:rsid w:val="00A92ED7"/>
    <w:rsid w:val="00AA19EB"/>
    <w:rsid w:val="00AA4B05"/>
    <w:rsid w:val="00AB2269"/>
    <w:rsid w:val="00AB2CDF"/>
    <w:rsid w:val="00AB4499"/>
    <w:rsid w:val="00AC3D8B"/>
    <w:rsid w:val="00AC456C"/>
    <w:rsid w:val="00AC683B"/>
    <w:rsid w:val="00AE0CA7"/>
    <w:rsid w:val="00AE7146"/>
    <w:rsid w:val="00AF2CE7"/>
    <w:rsid w:val="00AF5E1A"/>
    <w:rsid w:val="00AF5FB9"/>
    <w:rsid w:val="00B02D5D"/>
    <w:rsid w:val="00B06354"/>
    <w:rsid w:val="00B07D10"/>
    <w:rsid w:val="00B13B2F"/>
    <w:rsid w:val="00B16A67"/>
    <w:rsid w:val="00B17780"/>
    <w:rsid w:val="00B17E0A"/>
    <w:rsid w:val="00B2046F"/>
    <w:rsid w:val="00B22932"/>
    <w:rsid w:val="00B2350A"/>
    <w:rsid w:val="00B31C27"/>
    <w:rsid w:val="00B3408E"/>
    <w:rsid w:val="00B34E02"/>
    <w:rsid w:val="00B372A9"/>
    <w:rsid w:val="00B37D09"/>
    <w:rsid w:val="00B37D11"/>
    <w:rsid w:val="00B40B82"/>
    <w:rsid w:val="00B41F94"/>
    <w:rsid w:val="00B4592B"/>
    <w:rsid w:val="00B469AD"/>
    <w:rsid w:val="00B47023"/>
    <w:rsid w:val="00B4764D"/>
    <w:rsid w:val="00B5190D"/>
    <w:rsid w:val="00B52C8F"/>
    <w:rsid w:val="00B55008"/>
    <w:rsid w:val="00B55961"/>
    <w:rsid w:val="00B676D4"/>
    <w:rsid w:val="00B71911"/>
    <w:rsid w:val="00B725D1"/>
    <w:rsid w:val="00B752BF"/>
    <w:rsid w:val="00B754A2"/>
    <w:rsid w:val="00B75A88"/>
    <w:rsid w:val="00B80230"/>
    <w:rsid w:val="00B8034A"/>
    <w:rsid w:val="00B81038"/>
    <w:rsid w:val="00B86301"/>
    <w:rsid w:val="00B90577"/>
    <w:rsid w:val="00B905B0"/>
    <w:rsid w:val="00B9219B"/>
    <w:rsid w:val="00B927C6"/>
    <w:rsid w:val="00BA0EDB"/>
    <w:rsid w:val="00BA485F"/>
    <w:rsid w:val="00BA5679"/>
    <w:rsid w:val="00BA6773"/>
    <w:rsid w:val="00BA705B"/>
    <w:rsid w:val="00BB35C6"/>
    <w:rsid w:val="00BB483F"/>
    <w:rsid w:val="00BC02E5"/>
    <w:rsid w:val="00BC0E60"/>
    <w:rsid w:val="00BC26A5"/>
    <w:rsid w:val="00BC3376"/>
    <w:rsid w:val="00BC69FA"/>
    <w:rsid w:val="00BC745E"/>
    <w:rsid w:val="00BD4748"/>
    <w:rsid w:val="00BD55E1"/>
    <w:rsid w:val="00BE08A1"/>
    <w:rsid w:val="00BE1517"/>
    <w:rsid w:val="00BE18BA"/>
    <w:rsid w:val="00BF352F"/>
    <w:rsid w:val="00BF4592"/>
    <w:rsid w:val="00C0016F"/>
    <w:rsid w:val="00C02BF9"/>
    <w:rsid w:val="00C04C3A"/>
    <w:rsid w:val="00C05153"/>
    <w:rsid w:val="00C14C68"/>
    <w:rsid w:val="00C20A4B"/>
    <w:rsid w:val="00C22642"/>
    <w:rsid w:val="00C2501E"/>
    <w:rsid w:val="00C25E8B"/>
    <w:rsid w:val="00C315CF"/>
    <w:rsid w:val="00C43226"/>
    <w:rsid w:val="00C43737"/>
    <w:rsid w:val="00C44013"/>
    <w:rsid w:val="00C453BD"/>
    <w:rsid w:val="00C45C81"/>
    <w:rsid w:val="00C46EFA"/>
    <w:rsid w:val="00C51C56"/>
    <w:rsid w:val="00C56EA5"/>
    <w:rsid w:val="00C60104"/>
    <w:rsid w:val="00C6285A"/>
    <w:rsid w:val="00C62D0F"/>
    <w:rsid w:val="00C62E7B"/>
    <w:rsid w:val="00C73FE1"/>
    <w:rsid w:val="00C8067F"/>
    <w:rsid w:val="00C82AF5"/>
    <w:rsid w:val="00C837A2"/>
    <w:rsid w:val="00C91263"/>
    <w:rsid w:val="00CA1397"/>
    <w:rsid w:val="00CB2916"/>
    <w:rsid w:val="00CD0021"/>
    <w:rsid w:val="00CD0BD7"/>
    <w:rsid w:val="00CD4538"/>
    <w:rsid w:val="00CE223C"/>
    <w:rsid w:val="00CE45F5"/>
    <w:rsid w:val="00CE7667"/>
    <w:rsid w:val="00CF3131"/>
    <w:rsid w:val="00CF3BE1"/>
    <w:rsid w:val="00CF6991"/>
    <w:rsid w:val="00D00243"/>
    <w:rsid w:val="00D05ECD"/>
    <w:rsid w:val="00D073CB"/>
    <w:rsid w:val="00D24964"/>
    <w:rsid w:val="00D30140"/>
    <w:rsid w:val="00D36297"/>
    <w:rsid w:val="00D36EBA"/>
    <w:rsid w:val="00D371A5"/>
    <w:rsid w:val="00D40AC2"/>
    <w:rsid w:val="00D4100E"/>
    <w:rsid w:val="00D43BFB"/>
    <w:rsid w:val="00D54466"/>
    <w:rsid w:val="00D602EA"/>
    <w:rsid w:val="00D63A3C"/>
    <w:rsid w:val="00D6724D"/>
    <w:rsid w:val="00D6791A"/>
    <w:rsid w:val="00D707E2"/>
    <w:rsid w:val="00D75A83"/>
    <w:rsid w:val="00D75E3A"/>
    <w:rsid w:val="00D80394"/>
    <w:rsid w:val="00D84FF1"/>
    <w:rsid w:val="00D87891"/>
    <w:rsid w:val="00D93670"/>
    <w:rsid w:val="00D96B09"/>
    <w:rsid w:val="00D96C7F"/>
    <w:rsid w:val="00DB0063"/>
    <w:rsid w:val="00DB03EE"/>
    <w:rsid w:val="00DC198D"/>
    <w:rsid w:val="00DC1E99"/>
    <w:rsid w:val="00DC72BF"/>
    <w:rsid w:val="00DD0149"/>
    <w:rsid w:val="00DE09DF"/>
    <w:rsid w:val="00DE2420"/>
    <w:rsid w:val="00DE3B59"/>
    <w:rsid w:val="00DE7B95"/>
    <w:rsid w:val="00DF1892"/>
    <w:rsid w:val="00DF45D3"/>
    <w:rsid w:val="00E0295A"/>
    <w:rsid w:val="00E02B3E"/>
    <w:rsid w:val="00E02E86"/>
    <w:rsid w:val="00E10D75"/>
    <w:rsid w:val="00E14595"/>
    <w:rsid w:val="00E15CDF"/>
    <w:rsid w:val="00E213DC"/>
    <w:rsid w:val="00E256D9"/>
    <w:rsid w:val="00E323DF"/>
    <w:rsid w:val="00E324BC"/>
    <w:rsid w:val="00E378AA"/>
    <w:rsid w:val="00E44646"/>
    <w:rsid w:val="00E46F15"/>
    <w:rsid w:val="00E50599"/>
    <w:rsid w:val="00E5102D"/>
    <w:rsid w:val="00E5254C"/>
    <w:rsid w:val="00E60F8C"/>
    <w:rsid w:val="00E76629"/>
    <w:rsid w:val="00E774B9"/>
    <w:rsid w:val="00E87C24"/>
    <w:rsid w:val="00E95C19"/>
    <w:rsid w:val="00EA69A4"/>
    <w:rsid w:val="00EA7E26"/>
    <w:rsid w:val="00EB0717"/>
    <w:rsid w:val="00EB4862"/>
    <w:rsid w:val="00EB4F99"/>
    <w:rsid w:val="00EB6167"/>
    <w:rsid w:val="00EC2435"/>
    <w:rsid w:val="00EC37E6"/>
    <w:rsid w:val="00EC76EB"/>
    <w:rsid w:val="00ED4B90"/>
    <w:rsid w:val="00ED6091"/>
    <w:rsid w:val="00ED7231"/>
    <w:rsid w:val="00EE1957"/>
    <w:rsid w:val="00EE516F"/>
    <w:rsid w:val="00EF07AE"/>
    <w:rsid w:val="00F070EE"/>
    <w:rsid w:val="00F07CC8"/>
    <w:rsid w:val="00F1253E"/>
    <w:rsid w:val="00F14F53"/>
    <w:rsid w:val="00F1693C"/>
    <w:rsid w:val="00F201E5"/>
    <w:rsid w:val="00F27CCC"/>
    <w:rsid w:val="00F314E2"/>
    <w:rsid w:val="00F33250"/>
    <w:rsid w:val="00F342C5"/>
    <w:rsid w:val="00F3520B"/>
    <w:rsid w:val="00F356C3"/>
    <w:rsid w:val="00F41EE4"/>
    <w:rsid w:val="00F4449B"/>
    <w:rsid w:val="00F44FF9"/>
    <w:rsid w:val="00F519B3"/>
    <w:rsid w:val="00F52239"/>
    <w:rsid w:val="00F56CEA"/>
    <w:rsid w:val="00F60976"/>
    <w:rsid w:val="00F6216E"/>
    <w:rsid w:val="00F63D29"/>
    <w:rsid w:val="00F64B0A"/>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E08C7"/>
    <w:rsid w:val="00FE0F5C"/>
    <w:rsid w:val="00FE1DA6"/>
    <w:rsid w:val="00FE7AC7"/>
    <w:rsid w:val="00FF06DB"/>
    <w:rsid w:val="00FF0E93"/>
    <w:rsid w:val="00FF2928"/>
    <w:rsid w:val="00FF36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rules v:ext="edit">
        <o:r id="V:Rule3" type="connector" idref="#_x0000_s1029"/>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5034"/>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707B97"/>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character" w:styleId="PlaceholderText">
    <w:name w:val="Placeholder Text"/>
    <w:basedOn w:val="DefaultParagraphFont"/>
    <w:uiPriority w:val="99"/>
    <w:semiHidden/>
    <w:rsid w:val="00BC745E"/>
    <w:rPr>
      <w:color w:val="808080"/>
    </w:rPr>
  </w:style>
  <w:style w:type="character" w:styleId="CommentReference">
    <w:name w:val="annotation reference"/>
    <w:basedOn w:val="DefaultParagraphFont"/>
    <w:rsid w:val="00C02BF9"/>
    <w:rPr>
      <w:sz w:val="16"/>
      <w:szCs w:val="16"/>
    </w:rPr>
  </w:style>
  <w:style w:type="paragraph" w:styleId="CommentText">
    <w:name w:val="annotation text"/>
    <w:basedOn w:val="Normal"/>
    <w:link w:val="CommentTextChar"/>
    <w:rsid w:val="00C02BF9"/>
    <w:pPr>
      <w:spacing w:line="240" w:lineRule="auto"/>
    </w:pPr>
  </w:style>
  <w:style w:type="character" w:customStyle="1" w:styleId="CommentTextChar">
    <w:name w:val="Comment Text Char"/>
    <w:basedOn w:val="DefaultParagraphFont"/>
    <w:link w:val="CommentText"/>
    <w:rsid w:val="00C02BF9"/>
    <w:rPr>
      <w:rFonts w:ascii="Times New Roman" w:eastAsia="Times New Roman" w:hAnsi="Times New Roman"/>
      <w:sz w:val="20"/>
      <w:szCs w:val="20"/>
      <w:lang w:eastAsia="de-DE" w:bidi="ar-SA"/>
    </w:rPr>
  </w:style>
  <w:style w:type="paragraph" w:styleId="CommentSubject">
    <w:name w:val="annotation subject"/>
    <w:basedOn w:val="CommentText"/>
    <w:next w:val="CommentText"/>
    <w:link w:val="CommentSubjectChar"/>
    <w:rsid w:val="00C02BF9"/>
    <w:rPr>
      <w:b/>
      <w:bCs/>
    </w:rPr>
  </w:style>
  <w:style w:type="character" w:customStyle="1" w:styleId="CommentSubjectChar">
    <w:name w:val="Comment Subject Char"/>
    <w:basedOn w:val="CommentTextChar"/>
    <w:link w:val="CommentSubject"/>
    <w:rsid w:val="00C02BF9"/>
    <w:rPr>
      <w:b/>
      <w:bCs/>
    </w:rPr>
  </w:style>
  <w:style w:type="character" w:customStyle="1" w:styleId="apple-converted-space">
    <w:name w:val="apple-converted-space"/>
    <w:basedOn w:val="DefaultParagraphFont"/>
    <w:rsid w:val="00661BEB"/>
  </w:style>
  <w:style w:type="paragraph" w:styleId="Bibliography">
    <w:name w:val="Bibliography"/>
    <w:basedOn w:val="Normal"/>
    <w:next w:val="Normal"/>
    <w:uiPriority w:val="37"/>
    <w:unhideWhenUsed/>
    <w:rsid w:val="00B37D09"/>
  </w:style>
</w:styles>
</file>

<file path=word/webSettings.xml><?xml version="1.0" encoding="utf-8"?>
<w:webSettings xmlns:r="http://schemas.openxmlformats.org/officeDocument/2006/relationships" xmlns:w="http://schemas.openxmlformats.org/wordprocessingml/2006/main">
  <w:divs>
    <w:div w:id="714743910">
      <w:bodyDiv w:val="1"/>
      <w:marLeft w:val="0"/>
      <w:marRight w:val="0"/>
      <w:marTop w:val="0"/>
      <w:marBottom w:val="0"/>
      <w:divBdr>
        <w:top w:val="none" w:sz="0" w:space="0" w:color="auto"/>
        <w:left w:val="none" w:sz="0" w:space="0" w:color="auto"/>
        <w:bottom w:val="none" w:sz="0" w:space="0" w:color="auto"/>
        <w:right w:val="none" w:sz="0" w:space="0" w:color="auto"/>
      </w:divBdr>
    </w:div>
    <w:div w:id="914628229">
      <w:bodyDiv w:val="1"/>
      <w:marLeft w:val="0"/>
      <w:marRight w:val="0"/>
      <w:marTop w:val="0"/>
      <w:marBottom w:val="0"/>
      <w:divBdr>
        <w:top w:val="none" w:sz="0" w:space="0" w:color="auto"/>
        <w:left w:val="none" w:sz="0" w:space="0" w:color="auto"/>
        <w:bottom w:val="none" w:sz="0" w:space="0" w:color="auto"/>
        <w:right w:val="none" w:sz="0" w:space="0" w:color="auto"/>
      </w:divBdr>
    </w:div>
    <w:div w:id="1114323137">
      <w:bodyDiv w:val="1"/>
      <w:marLeft w:val="0"/>
      <w:marRight w:val="0"/>
      <w:marTop w:val="0"/>
      <w:marBottom w:val="0"/>
      <w:divBdr>
        <w:top w:val="none" w:sz="0" w:space="0" w:color="auto"/>
        <w:left w:val="none" w:sz="0" w:space="0" w:color="auto"/>
        <w:bottom w:val="none" w:sz="0" w:space="0" w:color="auto"/>
        <w:right w:val="none" w:sz="0" w:space="0" w:color="auto"/>
      </w:divBdr>
    </w:div>
    <w:div w:id="1160777915">
      <w:bodyDiv w:val="1"/>
      <w:marLeft w:val="0"/>
      <w:marRight w:val="0"/>
      <w:marTop w:val="0"/>
      <w:marBottom w:val="0"/>
      <w:divBdr>
        <w:top w:val="none" w:sz="0" w:space="0" w:color="auto"/>
        <w:left w:val="none" w:sz="0" w:space="0" w:color="auto"/>
        <w:bottom w:val="none" w:sz="0" w:space="0" w:color="auto"/>
        <w:right w:val="none" w:sz="0" w:space="0" w:color="auto"/>
      </w:divBdr>
    </w:div>
    <w:div w:id="2090999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My%20Research\Single%20Cell%20RNA%20Seq\Documentation\Papers\ISBRA2015\splnproc1110\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SourceType>JournalArticle</b:SourceType>
    <b:Tag>Zhang2012</b:Tag>
    <b:Title>Weighted Frequent Gene Co-expression Network Mining to Identify Genes Involved in Genome Stability</b:Title>
    <b:Year>2012</b:Year>
    <b:Author>
      <b:Author>
        <b:NameList>
          <b:Person>
            <b:Last>Zhang</b:Last>
            <b:Middle>and Lu, Kewei and Xiang, Yang and Islam, Muhtadi and Kotian, Shweta and Kais, Zeina and Lee, Cindy and Arora, Mansi and Liu, Hui-wen and Parvin, Jeffrey D. and Huang, Kun</b:Middle>
            <b:First>Jie</b:First>
          </b:Person>
        </b:NameList>
      </b:Author>
    </b:Author>
    <b:Pages>e1002656</b:Pages>
    <b:Volume>8</b:Volume>
    <b:StandardNumber> DOI: 10.1371/journal.pcbi.1002656</b:StandardNumber>
    <b:Publisher>Public Library of Science</b:Publisher>
    <b:JournalName>PLoS Comput Biol</b:JournalName>
    <b:Issue>8</b:Issue>
    <b:Month>08</b:Month>
    <b:URL>http://dx.doi.org/10.1371%2Fjournal.pcbi.1002656</b:URL>
    <b:BIBTEX_Abstract>&lt;title&gt;Author Summary&lt;/title&gt;&lt;p&gt;Proteins interact with each other in a network manner to precisely regulate complicated physiological functions of life. Diseases such as cancer may occur if the network regulations go wrong. In cancer research, network mining has been utilized to identify biomarkers, predict therapeutic targets, and discover new mechanisms for cancer development. Among these applications, the search for genes with similar expression patterns (co-expression) over different samples is particularly successful. However, few network mining approaches were systematically applied to different types of cancers to extract common cancer features. We carried out a systematic study to identify frequently co-expressed gene networks in multiple cancers and compared them with the gene networks found in multiple normal tissues. We found dramatic differences between networks from the two sources, with gene networks in cancer corresponding to specific traits of cancer. Specifically, the largest gene network in cancer contains many genes with cell cycle control and DNA stability functions. We thus predicted that a set of poorly studied genes in this network share similar functions and validated that most of these genes are involved in DNA break repair or proper cell division. To the best of our knowledge, this is the largest scale of such a study.&lt;/p&gt;</b:BIBTEX_Abstract>
    <b:RefOrder>8</b:RefOrder>
  </b:Source>
  <b:Source>
    <b:SourceType>Misc</b:SourceType>
    <b:Tag>XiangYFAUXiang</b:Tag>
    <b:Title>Predicting glioblastoma prognosis networks using weighted gene co-expression network analysis on TCGA data</b:Title>
    <b:Author>
      <b:Author>
        <b:NameList>
          <b:Person>
            <b:Last>Xiang Y FAU Xiang</b:Last>
            <b:First>Yang</b:First>
          </b:Person>
          <b:Person>
            <b:Last>Zhang CQ FAU Zhang</b:Last>
            <b:First>Cun-Quan</b:First>
          </b:Person>
          <b:Person>
            <b:Last>Huang K FAU Huang</b:Last>
            <b:First>Kun</b:First>
          </b:Person>
        </b:NameList>
      </b:Author>
    </b:Author>
    <b:Pages>--</b:Pages>
    <b:City>The Comprehensive Cancer Center Biomedical Informatics Shared Resource, The Ohio State University, Columbus, USA</b:City>
    <b:Issue>1471-2105 (Electronic)</b:Issue>
    <b:PublicationTitle>Predicting glioblastoma prognosis networks using weighted gene co-expression network analysis on TCGA data</b:PublicationTitle>
    <b:BIBTEX_Abstract>BACKGROUND: Using gene co-expression analysis, researchers were able to predict clusters of genes with consistent functions that are relevant to cancer development and prognosis. We applied a weighted gene co-expression network (WGCN) analysis algorithm on glioblastoma multiforme (GBM) data obtained from the TCGA project and predicted a set of gene co-expression networks which are related to GBM prognosis. METHODS: We modified the Quasi-Clique Merger algorithm (QCM algorithm) into edge-covering Quasi-Clique Merger algorithm (eQCM) for mining weighted sub-network in WGCN. Each sub-network is considered a set of features to separate patients into two groups using K-means algorithm. Survival times of the two groups are compared using log-rank test and Kaplan-Meier curves. Simulations using random sets of genes are carried out to determine the thresholds for log-rank test p-values for network selection. Sub-networks with p-values less than their corresponding thresholds were further merged into clusters based on overlap ratios (&gt;50%). The functions for each cluster are analyzed using gene ontology enrichment analysis. RESULTS: Using the eQCM algorithm, we identified 8,124 sub-networks in the WGCN, out of which 170 sub-networks show p-values less than their corresponding thresholds. They were then merged into 16 clusters. CONCLUSIONS: We identified 16 gene clusters associated with GBM prognosis using the eQCM algorithm. Our results not only confirmed previous findings including the importance of cell cycle and immune response in GBM, but also suggested important epigenetic events in GBM development and prognosis.</b:BIBTEX_Abstract>
    <b:RefOrder>6</b:RefOrder>
  </b:Source>
  <b:Source>
    <b:SourceType>JournalArticle</b:SourceType>
    <b:Tag>Ramskold2012</b:Tag>
    <b:Title>Full-length mRNA-Seq from single-cell levels of RNA and individual circulating tumor cells</b:Title>
    <b:Year>2012</b:Year>
    <b:Author>
      <b:Author>
        <b:NameList>
          <b:Person>
            <b:Last>Ramskold</b:Last>
            <b:First>Daniel</b:First>
          </b:Person>
          <b:Person>
            <b:Last>Luo</b:Last>
            <b:First>Shujun</b:First>
          </b:Person>
          <b:Person>
            <b:Last>Wang</b:Last>
            <b:First>Yu-Chieh</b:First>
          </b:Person>
          <b:Person>
            <b:Last>Li</b:Last>
            <b:First>Robin</b:First>
          </b:Person>
          <b:Person>
            <b:Last>Deng</b:Last>
            <b:First>Qiaolin</b:First>
          </b:Person>
          <b:Person>
            <b:Last>Faridani</b:Last>
            <b:Middle>R</b:Middle>
            <b:First>Omid</b:First>
          </b:Person>
          <b:Person>
            <b:Last>Daniels</b:Last>
            <b:Middle>A</b:Middle>
            <b:First>Gregory</b:First>
          </b:Person>
          <b:Person>
            <b:Last>Khrebtukova</b:Last>
            <b:First>Irina</b:First>
          </b:Person>
          <b:Person>
            <b:Last>Loring</b:Last>
            <b:Middle>F</b:Middle>
            <b:First>Jeanne</b:First>
          </b:Person>
          <b:Person>
            <b:Last>Laurent</b:Last>
            <b:Middle>C</b:Middle>
            <b:First>Louise</b:First>
          </b:Person>
          <b:Person>
            <b:Last>Schroth</b:Last>
            <b:Middle>P</b:Middle>
            <b:First>Gary</b:First>
          </b:Person>
          <b:Person>
            <b:Last>Sandberg</b:Last>
            <b:First>Rickard</b:First>
          </b:Person>
        </b:NameList>
      </b:Author>
    </b:Author>
    <b:Pages>777-782</b:Pages>
    <b:Volume>30</b:Volume>
    <b:StandardNumber> ISSN: 1087-0156</b:StandardNumber>
    <b:Publisher>Nature Publishing Group, a division of Macmillan Publishers Limited. All Rights Reserved.</b:Publisher>
    <b:JournalName>Nat Biotech</b:JournalName>
    <b:Issue>8</b:Issue>
    <b:Month>#aug#</b:Month>
    <b:URL>http://dx.doi.org/10.1038/nbt.2282</b:URL>
    <b:RefOrder>2</b:RefOrder>
  </b:Source>
  <b:Source>
    <b:SourceType>JournalArticle</b:SourceType>
    <b:Tag>Patel2014</b:Tag>
    <b:Title>Single-cell RNA-seq highlights intratumoral heterogeneity in primary glioblastoma</b:Title>
    <b:Year>2014</b:Year>
    <b:Author>
      <b:Author>
        <b:NameList>
          <b:Person>
            <b:Last>Patel</b:Last>
            <b:Middle>P.</b:Middle>
            <b:First>Anoop</b:First>
          </b:Person>
          <b:Person>
            <b:Last>Tirosh</b:Last>
            <b:First>Itay</b:First>
          </b:Person>
          <b:Person>
            <b:Last>Trombetta</b:Last>
            <b:Middle>J.</b:Middle>
            <b:First>John</b:First>
          </b:Person>
          <b:Person>
            <b:Last>Shalek</b:Last>
            <b:Middle>K.</b:Middle>
            <b:First>Alex</b:First>
          </b:Person>
          <b:Person>
            <b:Last>Gillespie</b:Last>
            <b:Middle>M.</b:Middle>
            <b:First>Shawn</b:First>
          </b:Person>
          <b:Person>
            <b:Last>Wakimoto</b:Last>
            <b:First>Hiroaki</b:First>
          </b:Person>
          <b:Person>
            <b:Last>Cahill</b:Last>
            <b:Middle>P.</b:Middle>
            <b:First>Daniel</b:First>
          </b:Person>
          <b:Person>
            <b:Last>Nahed</b:Last>
            <b:Middle>V.</b:Middle>
            <b:First>Brian</b:First>
          </b:Person>
          <b:Person>
            <b:Last>Curry</b:Last>
            <b:Middle>T.</b:Middle>
            <b:First>William</b:First>
          </b:Person>
          <b:Person>
            <b:Last>Martuza</b:Last>
            <b:Middle>L.</b:Middle>
            <b:First>Robert</b:First>
          </b:Person>
          <b:Person>
            <b:Last>Louis</b:Last>
            <b:Middle>N.</b:Middle>
            <b:First>David</b:First>
          </b:Person>
          <b:Person>
            <b:Last>Rozenblatt-Rosen</b:Last>
            <b:First>Orit</b:First>
          </b:Person>
          <b:Person>
            <b:Last>SuvÃ </b:Last>
            <b:Middle>L.</b:Middle>
            <b:First>Mario</b:First>
          </b:Person>
          <b:Person>
            <b:Last>Regev</b:Last>
            <b:First>Aviv</b:First>
          </b:Person>
          <b:Person>
            <b:Last>Bernstein</b:Last>
            <b:Middle>E.</b:Middle>
            <b:First>Bradley</b:First>
          </b:Person>
        </b:NameList>
      </b:Author>
    </b:Author>
    <b:Pages>1396-1401</b:Pages>
    <b:Volume>344</b:Volume>
    <b:StandardNumber> DOI: 10.1126/science.1254257</b:StandardNumber>
    <b:JournalName>Science</b:JournalName>
    <b:Issue>6190</b:Issue>
    <b:URL>http://www.sciencemag.org/content/344/6190/1396.abstract</b:URL>
    <b:BIBTEX_Abstract>Human cancers are complex ecosystems composed of cells with distinct phenotypes, genotypes, and epigenetic states, but current models do not adequately reflect tumor composition in patients. We used single-cell RNA sequencing (RNA-seq) to profile 430 cells from five primary glioblastomas, which we found to be inherently variable in their expression of diverse transcriptional programs related to oncogenic signaling, proliferation, complement/immune response, and hypoxia. We also observed a continuum of stemness-related expression states that enabled us to identify putative regulators of stemness in vivo. Finally, we show that established glioblastoma subtype classifiers are variably expressed across individual cells within a tumor and demonstrate the potential prognostic implications of such intratumoral heterogeneity. Thus, we reveal previously unappreciated heterogeneity in diverse regulatory programs central to glioblastoma biology, prognosis, and therapy.</b:BIBTEX_Abstract>
    <b:RefOrder>1</b:RefOrder>
  </b:Source>
  <b:Source>
    <b:SourceType>JournalArticle</b:SourceType>
    <b:Tag>Li2011</b:Tag>
    <b:Title>RSEM: accurate transcript quantification from RNA-Seq data with or without a reference genome</b:Title>
    <b:Year>2011</b:Year>
    <b:Author>
      <b:Author>
        <b:NameList>
          <b:Person>
            <b:Last>Li</b:Last>
            <b:First>Bo</b:First>
          </b:Person>
          <b:Person>
            <b:Last>Dewey</b:Last>
            <b:First>Colin</b:First>
          </b:Person>
        </b:NameList>
      </b:Author>
    </b:Author>
    <b:Pages>323</b:Pages>
    <b:Volume>12</b:Volume>
    <b:StandardNumber> ISSN: 1471-2105 DOI: 10.1186/1471-2105-12-323</b:StandardNumber>
    <b:JournalName>BMC Bioinformatics</b:JournalName>
    <b:Issue>1</b:Issue>
    <b:URL>http://www.biomedcentral.com/1471-2105/12/323</b:URL>
    <b:BIBTEX_Abstract>BACKGROUND:RNA-Seq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fragments.RESULTS:We present RSEM, an user-friendly software package for quantifying gene and isoform abundances from single-end or paired-end RNA-Seq data. RSEM outputs abundance estimates, 95% credibility intervals, and visualization files and can also simulate RNA-Seq data. In contrast to other existing tools, the software does not require a reference genome. Thus, in combination with a de novo transcriptome assembler, RSEM enables accurate transcript quantification for species without sequenced genomes. On simulated and real data sets, RSEM has superior or comparable performance to quantification methods that rely on a reference genome. Taking advantage of RSEM's ability to effectively use ambiguously-mapping reads, we show that accurate gene-level abundance estimates are best obtained with large numbers of short single-end reads. On the other hand, estimates of the relative frequencies of isoforms within single genes may be improved through the use of paired-end reads, depending on the number of possible splice forms for each gene.CONCLUSIONS:RSEM is an accurate and user-friendly software tool for quantifying transcript abundances from RNA-Seq data. As it does not rely on the existence of a reference genome, it is particularly useful for quantification with de novo transcriptome assemblies. In addition, RSEM has enabled valuable guidance for cost-efficient design of quantification experiments with RNA-Seq, which is currently relatively expensive.</b:BIBTEX_Abstract>
    <b:RefOrder>4</b:RefOrder>
  </b:Source>
  <b:Source>
    <b:SourceType>JournalArticle</b:SourceType>
    <b:Tag>Langmead2009</b:Tag>
    <b:Title>Ultrafast and memory-efficient alignment of short DNA sequences to the human genome</b:Title>
    <b:Year>2009</b:Year>
    <b:Author>
      <b:Author>
        <b:NameList>
          <b:Person>
            <b:Last>Langmead</b:Last>
            <b:First>Ben</b:First>
          </b:Person>
          <b:Person>
            <b:Last>Trapnell</b:Last>
            <b:First>Cole</b:First>
          </b:Person>
          <b:Person>
            <b:Last>Pop</b:Last>
            <b:First>Mihai</b:First>
          </b:Person>
          <b:Person>
            <b:Last>Salzberg</b:Last>
            <b:First>Steven</b:First>
          </b:Person>
        </b:NameList>
      </b:Author>
    </b:Author>
    <b:Pages>R25</b:Pages>
    <b:Volume>10</b:Volume>
    <b:StandardNumber> ISSN: 1465-6906 DOI: 10.1186/gb-2009-10-3-r25</b:StandardNumber>
    <b:JournalName>Genome Biology</b:JournalName>
    <b:Issue>3</b:Issue>
    <b:URL>http://genomebiology.com/2009/10/3/R25</b:URL>
    <b:BIBTEX_Abstract>Bowtie is an ultrafast, memory-efficient alignment program for aligning short DNA sequence reads to large genomes. For the human genome, Burrows-Wheeler indexing allows Bowtie to align more than 25 million reads per CPU hour with a memory footprint of approximately 1.3 gigabytes. Bowtie extends previous Burrows-Wheeler techniques with a novel quality-aware backtracking algorithm that permits mismatches. Multiple processor cores can be used simultaneously to achieve even greater alignment speeds. Bowtie is open source http://bowtie.cbcb.umd.edu webcite.</b:BIBTEX_Abstract>
    <b:RefOrder>3</b:RefOrder>
  </b:Source>
  <b:Source>
    <b:SourceType>Misc</b:SourceType>
    <b:Tag>HuangDWFAUHuang</b:Tag>
    <b:Title>Bioinformatics enrichment tools: paths toward the comprehensive functional analysis of large gene lists</b:Title>
    <b:Author>
      <b:Author>
        <b:NameList>
          <b:Person>
            <b:Last>Huang DW FAU Huang</b:Last>
            <b:Middle>Wei</b:Middle>
            <b:First>Da</b:First>
          </b:Person>
          <b:Person>
            <b:Last>Sherman BT FAU Sherman</b:Last>
            <b:Middle>T</b:Middle>
            <b:First>Brad</b:First>
          </b:Person>
          <b:Person>
            <b:Last>Lempicki RA FAU Lempicki</b:Last>
            <b:Middle>A</b:Middle>
            <b:First>Richard</b:First>
          </b:Person>
        </b:NameList>
      </b:Author>
    </b:Author>
    <b:Pages>--</b:Pages>
    <b:Issue>1362-4962 (Electronic)</b:Issue>
    <b:PublicationTitle>Bioinformatics enrichment tools: paths toward the comprehensive functional analysis of large gene lists</b:PublicationTitle>
    <b:BIBTEX_Abstract>Functional analysis of large gene lists, derived in most cases from emerging high-throughput genomic, proteomic and bioinformatics scanning approaches, is still a challenging and daunting task. The gene-annotation enrichment analysis is a promising high-throughput strategy that increases the likelihood for investigators to identify biological processes most pertinent to their study. Approximately 68 bioinformatics enrichment tools that are currently available in the community are collected in this survey. Tools are uniquely categorized into three major classes, according to their underlying enrichment algorithms. The comprehensive collections, unique tool classifications and associated questions/issues will provide a more comprehensive and up-to-date view regarding the advantages, pitfalls and recent trends in a simpler tool-class level rather than by a tool-by-tool approach. Thus, the survey will help tool designers/developers and experienced end users understand the underlying algorithms and pertinent details of particular tool categories/tools, enabling them to make the best choices for their particular research interests.</b:BIBTEX_Abstract>
    <b:RefOrder>7</b:RefOrder>
  </b:Source>
  <b:Source>
    <b:SourceType>JournalArticle</b:SourceType>
    <b:Tag>Huang2008</b:Tag>
    <b:Title>Systematic and integrative analysis of large gene lists using DAVID bioinformatics resources</b:Title>
    <b:Year>2008</b:Year>
    <b:Author>
      <b:Author>
        <b:NameList>
          <b:Person>
            <b:Last>Huang</b:Last>
            <b:Middle>Wei</b:Middle>
            <b:First>Da</b:First>
          </b:Person>
          <b:Person>
            <b:Last>Sherman</b:Last>
            <b:Middle>T</b:Middle>
            <b:First>Brad</b:First>
          </b:Person>
          <b:Person>
            <b:Last>Lempicki</b:Last>
            <b:Middle>A</b:Middle>
            <b:First>Richard</b:First>
          </b:Person>
        </b:NameList>
      </b:Author>
    </b:Author>
    <b:Pages>44-57</b:Pages>
    <b:Volume>4</b:Volume>
    <b:StandardNumber> ISSN: 1754-2189</b:StandardNumber>
    <b:Publisher>Nature Publishing Group</b:Publisher>
    <b:JournalName>Nat. Protocols</b:JournalName>
    <b:Issue>1</b:Issue>
    <b:Month>#dec#</b:Month>
    <b:URL>http://dx.doi.org/10.1038/nprot.2008.211</b:URL>
    <b:RefOrder>9</b:RefOrder>
  </b:Source>
  <b:Source>
    <b:SourceType>JournalArticle</b:SourceType>
    <b:Tag>Hu01062005</b:Tag>
    <b:Title>Mining coherent dense subgraphs across massive biological networks for functional discovery</b:Title>
    <b:Year>2005</b:Year>
    <b:Author>
      <b:Author>
        <b:NameList>
          <b:Person>
            <b:Last>Hu</b:Last>
            <b:First>Haiyan</b:First>
          </b:Person>
          <b:Person>
            <b:Last>Yan</b:Last>
            <b:First>Xifeng</b:First>
          </b:Person>
          <b:Person>
            <b:Last>Huang</b:Last>
            <b:First>Yu</b:First>
          </b:Person>
          <b:Person>
            <b:Last>Han</b:Last>
            <b:First>Jiawei</b:First>
          </b:Person>
          <b:Person>
            <b:Last>Zhou</b:Last>
            <b:Middle>Jasmine</b:Middle>
            <b:First>Xianghong</b:First>
          </b:Person>
        </b:NameList>
      </b:Author>
    </b:Author>
    <b:Pages>i213-i221</b:Pages>
    <b:Volume>21</b:Volume>
    <b:StandardNumber> DOI: 10.1093/bioinformatics/bti1049</b:StandardNumber>
    <b:JournalName>Bioinformatics</b:JournalName>
    <b:Issue>suppl 1</b:Issue>
    <b:URL>http://bioinformatics.oxfordjournals.org/content/21/suppl_1/i213.abstract</b:URL>
    <b:BIBTEX_Abstract>Motivation: The rapid accumulation of biological network data translates into an urgent need for computational methods for graph pattern mining. One important problem is to identify recurrent patterns across multiple networks to discover biological modules. However, existing algorithms for frequent pattern mining become very costly in time and space as the pattern sizes and network numbers increase. Currently, no efficient algorithm is available for mining recurrent patterns across large collections of genome-wide networks.Results: We developed a novel algorithm, CODENSE, to efficiently mine frequent coherent dense subgraphs across large numbers of massive graphs. Compared with previous methods, our approach is scalable in the number and size of the input graphs and adjustable in terms of exact or approximate pattern mining. Applying CODENSE to 39 co-expression networks derived from microarray datasets, we discovered a large number of functionally homogeneous clusters and made functional predictions for 169 uncharacterized yeast genes.Availability: http://zhoulab.usc.edu/CODENSE/Contact: xjzhou@usc.edu</b:BIBTEX_Abstract>
    <b:RefOrder>5</b:RefOrder>
  </b:Source>
  <b:Source>
    <b:SourceType>JournalArticle</b:SourceType>
    <b:Tag>Bao01112014</b:Tag>
    <b:Title>RNA-seq of 272 gliomas revealed a novel, recurrent PTPRZ1-MET fusion transcript in secondary glioblastomas</b:Title>
    <b:Year>2014</b:Year>
    <b:Author>
      <b:Author>
        <b:NameList>
          <b:Person>
            <b:Last>Bao</b:Last>
            <b:First>Zhao-Shi</b:First>
          </b:Person>
          <b:Person>
            <b:Last>Chen</b:Last>
            <b:First>Hui-Min</b:First>
          </b:Person>
          <b:Person>
            <b:Last>Yang</b:Last>
            <b:First>Ming-Yu</b:First>
          </b:Person>
          <b:Person>
            <b:Last>Zhang</b:Last>
            <b:First>Chuan-Bao</b:First>
          </b:Person>
          <b:Person>
            <b:Last>Yu</b:Last>
            <b:First>Kai</b:First>
          </b:Person>
          <b:Person>
            <b:Last>Ye</b:Last>
            <b:First>Wan-Lu</b:First>
          </b:Person>
          <b:Person>
            <b:Last>Hu</b:Last>
            <b:First>Bo-Qiang</b:First>
          </b:Person>
          <b:Person>
            <b:Last>Yan</b:Last>
            <b:First>Wei</b:First>
          </b:Person>
          <b:Person>
            <b:Last>Zhang</b:Last>
            <b:First>Wei</b:First>
          </b:Person>
          <b:Person>
            <b:Last>Akers</b:Last>
            <b:First>Johnny</b:First>
          </b:Person>
          <b:Person>
            <b:Last>Ramakrishnan</b:Last>
            <b:First>Valya</b:First>
          </b:Person>
          <b:Person>
            <b:Last>Li</b:Last>
            <b:First>Jie</b:First>
          </b:Person>
          <b:Person>
            <b:Last>Carter</b:Last>
            <b:First>Bob</b:First>
          </b:Person>
          <b:Person>
            <b:Last>Liu</b:Last>
            <b:First>Yan-Wei</b:First>
          </b:Person>
          <b:Person>
            <b:Last>Hu</b:Last>
            <b:First>Hui-Min</b:First>
          </b:Person>
          <b:Person>
            <b:Last>Wang</b:Last>
            <b:First>Zheng</b:First>
          </b:Person>
          <b:Person>
            <b:Last>Li</b:Last>
            <b:First>Ming-Yang</b:First>
          </b:Person>
          <b:Person>
            <b:Last>Yao</b:Last>
            <b:First>Kun</b:First>
          </b:Person>
          <b:Person>
            <b:Last>Qiu</b:Last>
            <b:First>Xiao-Guang</b:First>
          </b:Person>
          <b:Person>
            <b:Last>Kang</b:Last>
            <b:First>Chun-Sheng</b:First>
          </b:Person>
          <b:Person>
            <b:Last>You</b:Last>
            <b:First>Yong-Ping</b:First>
          </b:Person>
          <b:Person>
            <b:Last>Fan</b:Last>
            <b:First>Xiao-Long</b:First>
          </b:Person>
          <b:Person>
            <b:Last>Song</b:Last>
            <b:Middle>Sonya</b:Middle>
            <b:First>Wei</b:First>
          </b:Person>
          <b:Person>
            <b:Last>Li</b:Last>
            <b:First>Rui-Qiang</b:First>
          </b:Person>
          <b:Person>
            <b:Last>Su</b:Last>
            <b:First>Xiao-Dong</b:First>
          </b:Person>
          <b:Person>
            <b:Last>Chen</b:Last>
            <b:Middle>C.</b:Middle>
            <b:First>Clark</b:First>
          </b:Person>
          <b:Person>
            <b:Last>Jiang</b:Last>
            <b:First>Tao</b:First>
          </b:Person>
        </b:NameList>
      </b:Author>
    </b:Author>
    <b:Pages>1765-1773</b:Pages>
    <b:Volume>24</b:Volume>
    <b:StandardNumber> DOI: 10.1101/gr.165126.113</b:StandardNumber>
    <b:JournalName>Genome Research</b:JournalName>
    <b:Issue>11</b:Issue>
    <b:URL>http://genome.cshlp.org/content/24/11/1765.abstract</b:URL>
    <b:BIBTEX_Abstract>Studies of gene rearrangements and the consequent oncogenic fusion proteins have laid the foundation for targeted cancer therapy. To identify oncogenic fusions associated with glioma progression, we catalogued fusion transcripts by RNA-seq of 272 gliomas. Fusion transcripts were more frequently found in high-grade gliomas, in the classical subtype of gliomas, and in gliomas treated with radiation/temozolomide. Sixty-seven in-frame fusion transcripts were identified, including three recurrent fusion transcripts: FGFR3-TACC3, RNF213-SLC26A11, and PTPRZ1-MET (ZM). Interestingly, the ZM fusion was found only in grade III astrocytomas (1/13; 7.7%) or secondary GBMs (sGBMs, 3/20; 15.0%). In an independent cohort of sGBMs, the ZM fusion was found in three of 20 (15%) specimens. Genomic analysis revealed that the fusion arose from translocation events involving introns 3 or 8 of PTPRZ and intron 1 of MET. ZM fusion transcripts were found in GBMs irrespective of isocitrate dehydrogenase 1 (IDH1) mutation status. sGBMs harboring ZM fusion showed higher expression of genes required for PIK3CA signaling and lowered expression of genes that suppressed RB1 or TP53 function. Expression of the ZM fusion was mutually exclusive with EGFR overexpression in sGBMs. Exogenous expression of the ZM fusion in the U87MG glioblastoma line enhanced cell migration and invasion. Clinically, patients afflicted with ZM fusion harboring glioblastomas survived poorly relative to those afflicted with non-ZM-harboring sGBMs (P &lt; 0.001). Our study profiles the shifting RNA landscape of gliomas during progression and reveled ZM as a novel, recurrent fusion transcript in sGBMs.</b:BIBTEX_Abstract>
    <b:RefOrder>10</b:RefOrder>
  </b:Source>
</b:Sources>
</file>

<file path=customXml/itemProps1.xml><?xml version="1.0" encoding="utf-8"?>
<ds:datastoreItem xmlns:ds="http://schemas.openxmlformats.org/officeDocument/2006/customXml" ds:itemID="{4AC156FB-5CF3-47A4-AF74-CC33BB0C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59027</TotalTime>
  <Pages>1</Pages>
  <Words>1787</Words>
  <Characters>10190</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11954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dc:description>Formats and macros for Springer Lecture Notes</dc:description>
  <cp:lastModifiedBy>Brian</cp:lastModifiedBy>
  <cp:revision>36</cp:revision>
  <cp:lastPrinted>2015-02-25T13:13:00Z</cp:lastPrinted>
  <dcterms:created xsi:type="dcterms:W3CDTF">2015-02-11T15:21:00Z</dcterms:created>
  <dcterms:modified xsi:type="dcterms:W3CDTF">2015-05-04T11:58:00Z</dcterms:modified>
</cp:coreProperties>
</file>