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5E" w:rsidRDefault="006F3B59">
      <w:pPr>
        <w:rPr>
          <w:rFonts w:eastAsiaTheme="minorEastAsia"/>
        </w:rPr>
      </w:pPr>
      <w:r>
        <w:t xml:space="preserve">Let </w:t>
      </w:r>
      <m:oMath>
        <m:r>
          <w:rPr>
            <w:rFonts w:ascii="Cambria Math" w:hAnsi="Cambria Math"/>
          </w:rPr>
          <m:t xml:space="preserve">ψ(x;θ) </m:t>
        </m:r>
      </m:oMath>
      <w:r>
        <w:rPr>
          <w:rFonts w:eastAsiaTheme="minorEastAsia"/>
        </w:rPr>
        <w:t xml:space="preserve"> be a base psychometric function that runs from 0 to 1 as stimulus intensity </w:t>
      </w:r>
      <m:oMath>
        <m:r>
          <w:rPr>
            <w:rFonts w:ascii="Cambria Math" w:hAnsi="Cambria Math"/>
          </w:rPr>
          <m:t>x</m:t>
        </m:r>
      </m:oMath>
      <w:r>
        <w:rPr>
          <w:rFonts w:eastAsiaTheme="minorEastAsia"/>
        </w:rPr>
        <w:t xml:space="preserve"> runs from small to large. The base function </w:t>
      </w:r>
      <m:oMath>
        <m:r>
          <w:rPr>
            <w:rFonts w:ascii="Cambria Math" w:hAnsi="Cambria Math"/>
          </w:rPr>
          <m:t>ψ</m:t>
        </m:r>
      </m:oMath>
      <w:r>
        <w:rPr>
          <w:rFonts w:eastAsiaTheme="minorEastAsia"/>
        </w:rPr>
        <w:t xml:space="preserve"> has parameters </w:t>
      </w:r>
      <m:oMath>
        <m:r>
          <w:rPr>
            <w:rFonts w:ascii="Cambria Math" w:hAnsi="Cambria Math"/>
          </w:rPr>
          <m:t>θ</m:t>
        </m:r>
      </m:oMath>
      <w:r>
        <w:rPr>
          <w:rFonts w:eastAsiaTheme="minorEastAsia"/>
        </w:rPr>
        <w:t>, which we don't care about here.</w:t>
      </w:r>
    </w:p>
    <w:p w:rsidR="006F3B59" w:rsidRDefault="006F3B59">
      <w:pPr>
        <w:rPr>
          <w:rFonts w:eastAsiaTheme="minorEastAsia"/>
        </w:rPr>
      </w:pPr>
    </w:p>
    <w:p w:rsidR="006F3B59" w:rsidRDefault="006F3B59">
      <w:pPr>
        <w:rPr>
          <w:rFonts w:eastAsiaTheme="minorEastAsia"/>
        </w:rPr>
      </w:pPr>
      <w:r>
        <w:rPr>
          <w:rFonts w:eastAsiaTheme="minorEastAsia"/>
        </w:rPr>
        <w:t xml:space="preserve">Let </w:t>
      </w:r>
      <m:oMath>
        <m:r>
          <w:rPr>
            <w:rFonts w:ascii="Cambria Math" w:eastAsiaTheme="minorEastAsia" w:hAnsi="Cambria Math"/>
          </w:rPr>
          <m:t>g</m:t>
        </m:r>
      </m:oMath>
      <w:r>
        <w:rPr>
          <w:rFonts w:eastAsiaTheme="minorEastAsia"/>
        </w:rPr>
        <w:t xml:space="preserve"> be the guess rate – probability correct when subject just guesses</w:t>
      </w:r>
      <w:r w:rsidR="00D07788">
        <w:rPr>
          <w:rFonts w:eastAsiaTheme="minorEastAsia"/>
        </w:rPr>
        <w:t xml:space="preserve"> when stimulus value is at its smallest</w:t>
      </w:r>
      <w:r>
        <w:rPr>
          <w:rFonts w:eastAsiaTheme="minorEastAsia"/>
        </w:rPr>
        <w:t>.</w:t>
      </w:r>
    </w:p>
    <w:p w:rsidR="006F3B59" w:rsidRDefault="006F3B59">
      <w:pPr>
        <w:rPr>
          <w:rFonts w:eastAsiaTheme="minorEastAsia"/>
        </w:rPr>
      </w:pPr>
      <w:r>
        <w:rPr>
          <w:rFonts w:eastAsiaTheme="minorEastAsia"/>
        </w:rPr>
        <w:t xml:space="preserve">Let </w:t>
      </w:r>
      <m:oMath>
        <m:r>
          <w:rPr>
            <w:rFonts w:ascii="Cambria Math" w:eastAsiaTheme="minorEastAsia" w:hAnsi="Cambria Math"/>
          </w:rPr>
          <m:t>l</m:t>
        </m:r>
      </m:oMath>
      <w:r>
        <w:rPr>
          <w:rFonts w:eastAsiaTheme="minorEastAsia"/>
        </w:rPr>
        <w:t xml:space="preserve"> be a lapse rate – on this fraction the subject doesn't see the stimulus and thus just guesses.</w:t>
      </w:r>
    </w:p>
    <w:p w:rsidR="006F3B59" w:rsidRDefault="006F3B59">
      <w:pPr>
        <w:rPr>
          <w:rFonts w:eastAsiaTheme="minorEastAsia"/>
        </w:rPr>
      </w:pPr>
    </w:p>
    <w:p w:rsidR="006F3B59" w:rsidRDefault="006F3B59" w:rsidP="006F3B59">
      <w:pPr>
        <w:rPr>
          <w:rFonts w:eastAsiaTheme="minorEastAsia"/>
        </w:rPr>
      </w:pPr>
      <w:r>
        <w:rPr>
          <w:rFonts w:eastAsiaTheme="minorEastAsia"/>
        </w:rPr>
        <w:t>Then the probability correct is given by</w:t>
      </w:r>
    </w:p>
    <w:p w:rsidR="006F3B59" w:rsidRDefault="006F3B59" w:rsidP="006F3B59">
      <w:pPr>
        <w:rPr>
          <w:rFonts w:eastAsiaTheme="minorEastAsia"/>
        </w:rPr>
      </w:pPr>
    </w:p>
    <w:p w:rsidR="002D7729" w:rsidRPr="002D7729" w:rsidRDefault="002D7729" w:rsidP="00B64346">
      <w:pPr>
        <w:ind w:left="720" w:firstLine="720"/>
        <w:rPr>
          <w:rFonts w:eastAsiaTheme="minorEastAsia"/>
        </w:rPr>
      </w:pPr>
      <m:oMathPara>
        <m:oMathParaPr>
          <m:jc m:val="left"/>
        </m:oMathParaPr>
        <m:oMath>
          <m:r>
            <w:rPr>
              <w:rFonts w:ascii="Cambria Math" w:hAnsi="Cambria Math"/>
            </w:rPr>
            <m:t>lg+</m:t>
          </m:r>
          <m:d>
            <m:dPr>
              <m:ctrlPr>
                <w:rPr>
                  <w:rFonts w:ascii="Cambria Math" w:hAnsi="Cambria Math"/>
                  <w:i/>
                </w:rPr>
              </m:ctrlPr>
            </m:dPr>
            <m:e>
              <m:r>
                <w:rPr>
                  <w:rFonts w:ascii="Cambria Math" w:hAnsi="Cambria Math"/>
                </w:rPr>
                <m:t>1-l</m:t>
              </m:r>
            </m:e>
          </m:d>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1-g</m:t>
                  </m:r>
                </m:e>
              </m:d>
              <m:r>
                <w:rPr>
                  <w:rFonts w:ascii="Cambria Math" w:hAnsi="Cambria Math"/>
                </w:rPr>
                <m:t>ψ</m:t>
              </m:r>
              <m:d>
                <m:dPr>
                  <m:ctrlPr>
                    <w:rPr>
                      <w:rFonts w:ascii="Cambria Math" w:hAnsi="Cambria Math"/>
                      <w:i/>
                    </w:rPr>
                  </m:ctrlPr>
                </m:dPr>
                <m:e>
                  <m:r>
                    <w:rPr>
                      <w:rFonts w:ascii="Cambria Math" w:hAnsi="Cambria Math"/>
                    </w:rPr>
                    <m:t>x;θ</m:t>
                  </m:r>
                </m:e>
              </m:d>
            </m:e>
          </m:d>
        </m:oMath>
      </m:oMathPara>
    </w:p>
    <w:p w:rsidR="002D7729" w:rsidRPr="002D7729" w:rsidRDefault="002D7729" w:rsidP="002D7729">
      <w:pPr>
        <w:ind w:left="720" w:firstLine="720"/>
        <w:rPr>
          <w:rFonts w:eastAsiaTheme="minorEastAsia"/>
        </w:rPr>
      </w:pPr>
      <m:oMathPara>
        <m:oMathParaPr>
          <m:jc m:val="left"/>
        </m:oMathParaPr>
        <m:oMath>
          <m:r>
            <w:rPr>
              <w:rFonts w:ascii="Cambria Math" w:hAnsi="Cambria Math"/>
            </w:rPr>
            <m:t>= g+(1-l)</m:t>
          </m:r>
          <m:d>
            <m:dPr>
              <m:ctrlPr>
                <w:rPr>
                  <w:rFonts w:ascii="Cambria Math" w:hAnsi="Cambria Math"/>
                  <w:i/>
                </w:rPr>
              </m:ctrlPr>
            </m:dPr>
            <m:e>
              <m:r>
                <w:rPr>
                  <w:rFonts w:ascii="Cambria Math" w:hAnsi="Cambria Math"/>
                </w:rPr>
                <m:t>1-g</m:t>
              </m:r>
            </m:e>
          </m:d>
          <m:r>
            <w:rPr>
              <w:rFonts w:ascii="Cambria Math" w:hAnsi="Cambria Math"/>
            </w:rPr>
            <m:t>ψ</m:t>
          </m:r>
          <m:d>
            <m:dPr>
              <m:ctrlPr>
                <w:rPr>
                  <w:rFonts w:ascii="Cambria Math" w:hAnsi="Cambria Math"/>
                  <w:i/>
                </w:rPr>
              </m:ctrlPr>
            </m:dPr>
            <m:e>
              <m:r>
                <w:rPr>
                  <w:rFonts w:ascii="Cambria Math" w:hAnsi="Cambria Math"/>
                </w:rPr>
                <m:t>x;θ</m:t>
              </m:r>
            </m:e>
          </m:d>
        </m:oMath>
      </m:oMathPara>
    </w:p>
    <w:p w:rsidR="00B64346" w:rsidRPr="00B64346" w:rsidRDefault="002D7729" w:rsidP="00B64346">
      <w:pPr>
        <w:ind w:left="720" w:firstLine="720"/>
        <w:rPr>
          <w:rFonts w:eastAsiaTheme="minorEastAsia"/>
        </w:rPr>
      </w:pPr>
      <m:oMathPara>
        <m:oMathParaPr>
          <m:jc m:val="left"/>
        </m:oMathParaPr>
        <m:oMath>
          <m:r>
            <w:rPr>
              <w:rFonts w:ascii="Cambria Math" w:hAnsi="Cambria Math"/>
            </w:rPr>
            <m:t xml:space="preserve">=g+ </m:t>
          </m:r>
          <m:d>
            <m:dPr>
              <m:ctrlPr>
                <w:rPr>
                  <w:rFonts w:ascii="Cambria Math" w:hAnsi="Cambria Math"/>
                  <w:i/>
                </w:rPr>
              </m:ctrlPr>
            </m:dPr>
            <m:e>
              <m:r>
                <w:rPr>
                  <w:rFonts w:ascii="Cambria Math" w:hAnsi="Cambria Math"/>
                </w:rPr>
                <m:t>1-g-(l-lg</m:t>
              </m:r>
            </m:e>
          </m:d>
          <m:r>
            <w:rPr>
              <w:rFonts w:ascii="Cambria Math" w:hAnsi="Cambria Math"/>
            </w:rPr>
            <m:t>)ψ</m:t>
          </m:r>
          <m:d>
            <m:dPr>
              <m:ctrlPr>
                <w:rPr>
                  <w:rFonts w:ascii="Cambria Math" w:hAnsi="Cambria Math"/>
                  <w:i/>
                </w:rPr>
              </m:ctrlPr>
            </m:dPr>
            <m:e>
              <m:r>
                <w:rPr>
                  <w:rFonts w:ascii="Cambria Math" w:hAnsi="Cambria Math"/>
                </w:rPr>
                <m:t>x;θ</m:t>
              </m:r>
            </m:e>
          </m:d>
        </m:oMath>
      </m:oMathPara>
    </w:p>
    <w:p w:rsidR="006F3B59" w:rsidRPr="006F3B59" w:rsidRDefault="006F3B59" w:rsidP="006F3B59">
      <w:pPr>
        <w:ind w:left="720" w:firstLine="720"/>
        <w:rPr>
          <w:rFonts w:eastAsiaTheme="minorEastAsia"/>
        </w:rPr>
      </w:pPr>
    </w:p>
    <w:p w:rsidR="006F3B59" w:rsidRDefault="007A5BDF">
      <w:pPr>
        <w:rPr>
          <w:rFonts w:eastAsiaTheme="minorEastAsia"/>
        </w:rPr>
      </w:pPr>
      <w:r>
        <w:rPr>
          <w:rFonts w:eastAsiaTheme="minorEastAsia"/>
        </w:rPr>
        <w:t>Thus</w:t>
      </w:r>
      <w:r w:rsidR="00876C12">
        <w:rPr>
          <w:rFonts w:eastAsiaTheme="minorEastAsia"/>
        </w:rPr>
        <w:t>,</w:t>
      </w:r>
      <w:r>
        <w:rPr>
          <w:rFonts w:eastAsiaTheme="minorEastAsia"/>
        </w:rPr>
        <w:t xml:space="preserve"> the observed high stimulus value percent correct </w:t>
      </w:r>
      <w:r w:rsidR="00876C12">
        <w:rPr>
          <w:rFonts w:eastAsiaTheme="minorEastAsia"/>
        </w:rPr>
        <w:t xml:space="preserve">in this parameterization </w:t>
      </w:r>
      <w:r>
        <w:rPr>
          <w:rFonts w:eastAsiaTheme="minorEastAsia"/>
        </w:rPr>
        <w:t xml:space="preserve">is </w:t>
      </w:r>
      <m:oMath>
        <m:r>
          <w:rPr>
            <w:rFonts w:ascii="Cambria Math" w:hAnsi="Cambria Math"/>
          </w:rPr>
          <m:t>1-</m:t>
        </m:r>
        <m:d>
          <m:dPr>
            <m:ctrlPr>
              <w:rPr>
                <w:rFonts w:ascii="Cambria Math" w:hAnsi="Cambria Math"/>
                <w:i/>
              </w:rPr>
            </m:ctrlPr>
          </m:dPr>
          <m:e>
            <m:r>
              <w:rPr>
                <w:rFonts w:ascii="Cambria Math" w:hAnsi="Cambria Math"/>
              </w:rPr>
              <m:t>l-lg</m:t>
            </m:r>
          </m:e>
        </m:d>
        <m:r>
          <w:rPr>
            <w:rFonts w:ascii="Cambria Math" w:hAnsi="Cambria Math"/>
          </w:rPr>
          <m:t>.</m:t>
        </m:r>
      </m:oMath>
      <w:r w:rsidR="00876C12">
        <w:rPr>
          <w:rFonts w:eastAsiaTheme="minorEastAsia"/>
        </w:rPr>
        <w:t xml:space="preserve"> This makes intuitive sense. On some trials where the subject doesn't see the stimulus, the subject will guess correctly, so that the observed high stimulus value percent correct is slightly higher than </w:t>
      </w:r>
      <m:oMath>
        <m:r>
          <w:rPr>
            <w:rFonts w:ascii="Cambria Math" w:hAnsi="Cambria Math"/>
          </w:rPr>
          <m:t>1</m:t>
        </m:r>
        <m:r>
          <w:rPr>
            <w:rFonts w:ascii="Cambria Math" w:hAnsi="Cambria Math"/>
          </w:rPr>
          <m:t>-l</m:t>
        </m:r>
      </m:oMath>
      <w:r w:rsidR="00876C12">
        <w:rPr>
          <w:rFonts w:eastAsiaTheme="minorEastAsia"/>
        </w:rPr>
        <w:t>.</w:t>
      </w:r>
    </w:p>
    <w:p w:rsidR="007A5BDF" w:rsidRDefault="007A5BDF">
      <w:pPr>
        <w:rPr>
          <w:rFonts w:eastAsiaTheme="minorEastAsia"/>
        </w:rPr>
      </w:pPr>
    </w:p>
    <w:p w:rsidR="006F3B59" w:rsidRDefault="006F3B59">
      <w:pPr>
        <w:rPr>
          <w:rFonts w:eastAsiaTheme="minorEastAsia"/>
        </w:rPr>
      </w:pPr>
      <w:r>
        <w:rPr>
          <w:rFonts w:eastAsiaTheme="minorEastAsia"/>
        </w:rPr>
        <w:t xml:space="preserve">In the </w:t>
      </w:r>
      <w:proofErr w:type="spellStart"/>
      <w:r>
        <w:rPr>
          <w:rFonts w:eastAsiaTheme="minorEastAsia"/>
        </w:rPr>
        <w:t>mQUESTPlus</w:t>
      </w:r>
      <w:proofErr w:type="spellEnd"/>
      <w:r>
        <w:rPr>
          <w:rFonts w:eastAsiaTheme="minorEastAsia"/>
        </w:rPr>
        <w:t xml:space="preserve"> implementation of the Weibull psychometric function, the probability correct is coded as</w:t>
      </w:r>
    </w:p>
    <w:p w:rsidR="006F3B59" w:rsidRDefault="006F3B59">
      <w:pPr>
        <w:rPr>
          <w:rFonts w:eastAsiaTheme="minorEastAsia"/>
        </w:rPr>
      </w:pPr>
    </w:p>
    <w:p w:rsidR="006F3B59" w:rsidRPr="006F3B59" w:rsidRDefault="006F3B59" w:rsidP="006F3B59">
      <w:pPr>
        <w:ind w:left="720" w:firstLine="720"/>
        <w:rPr>
          <w:rFonts w:eastAsiaTheme="minorEastAsia"/>
        </w:rPr>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w:rPr>
              <w:rFonts w:ascii="Cambria Math" w:hAnsi="Cambria Math"/>
            </w:rPr>
            <m:t>g</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-1)(1-ψ</m:t>
          </m:r>
          <m:d>
            <m:dPr>
              <m:ctrlPr>
                <w:rPr>
                  <w:rFonts w:ascii="Cambria Math" w:hAnsi="Cambria Math"/>
                  <w:i/>
                </w:rPr>
              </m:ctrlPr>
            </m:dPr>
            <m:e>
              <m:r>
                <w:rPr>
                  <w:rFonts w:ascii="Cambria Math" w:hAnsi="Cambria Math"/>
                </w:rPr>
                <m:t>x;θ</m:t>
              </m:r>
            </m:e>
          </m:d>
          <m:r>
            <w:rPr>
              <w:rFonts w:ascii="Cambria Math" w:hAnsi="Cambria Math"/>
            </w:rPr>
            <m:t>)</m:t>
          </m:r>
        </m:oMath>
      </m:oMathPara>
    </w:p>
    <w:p w:rsidR="006F3B59" w:rsidRPr="006F3B59" w:rsidRDefault="006F3B59" w:rsidP="006F3B59">
      <w:pPr>
        <w:ind w:left="720" w:firstLine="720"/>
        <w:rPr>
          <w:rFonts w:eastAsiaTheme="minorEastAsia"/>
        </w:rPr>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g</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e>
          </m:d>
          <m:r>
            <w:rPr>
              <w:rFonts w:ascii="Cambria Math" w:hAnsi="Cambria Math"/>
            </w:rPr>
            <m:t>ψ</m:t>
          </m:r>
          <m:d>
            <m:dPr>
              <m:ctrlPr>
                <w:rPr>
                  <w:rFonts w:ascii="Cambria Math" w:hAnsi="Cambria Math"/>
                  <w:i/>
                </w:rPr>
              </m:ctrlPr>
            </m:dPr>
            <m:e>
              <m:r>
                <w:rPr>
                  <w:rFonts w:ascii="Cambria Math" w:hAnsi="Cambria Math"/>
                </w:rPr>
                <m:t>x;θ</m:t>
              </m:r>
            </m:e>
          </m:d>
        </m:oMath>
      </m:oMathPara>
    </w:p>
    <w:p w:rsidR="006F3B59" w:rsidRPr="006F3B59" w:rsidRDefault="006F3B59" w:rsidP="006F3B59">
      <w:pPr>
        <w:ind w:left="720" w:firstLine="720"/>
        <w:rPr>
          <w:rFonts w:eastAsiaTheme="minorEastAsia"/>
        </w:rPr>
      </w:pPr>
      <m:oMath>
        <m:r>
          <w:rPr>
            <w:rFonts w:ascii="Cambria Math" w:hAnsi="Cambria Math"/>
          </w:rPr>
          <m:t>=</m:t>
        </m:r>
        <m:r>
          <w:rPr>
            <w:rFonts w:ascii="Cambria Math" w:hAnsi="Cambria Math"/>
          </w:rPr>
          <m:t>g</m:t>
        </m:r>
        <m:r>
          <w:rPr>
            <w:rFonts w:ascii="Cambria Math" w:hAnsi="Cambria Math"/>
          </w:rPr>
          <m:t>+(1-</m:t>
        </m:r>
        <m:r>
          <w:rPr>
            <w:rFonts w:ascii="Cambria Math" w:hAnsi="Cambria Math"/>
          </w:rPr>
          <m:t>g</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)ψ</m:t>
        </m:r>
        <m:d>
          <m:dPr>
            <m:ctrlPr>
              <w:rPr>
                <w:rFonts w:ascii="Cambria Math" w:hAnsi="Cambria Math"/>
                <w:i/>
              </w:rPr>
            </m:ctrlPr>
          </m:dPr>
          <m:e>
            <m:r>
              <w:rPr>
                <w:rFonts w:ascii="Cambria Math" w:hAnsi="Cambria Math"/>
              </w:rPr>
              <m:t>x;θ</m:t>
            </m:r>
          </m:e>
        </m:d>
      </m:oMath>
      <w:r w:rsidR="00B64346">
        <w:rPr>
          <w:rFonts w:eastAsiaTheme="minorEastAsia"/>
        </w:rPr>
        <w:t>.</w:t>
      </w:r>
    </w:p>
    <w:p w:rsidR="006F3B59" w:rsidRDefault="006F3B59">
      <w:pPr>
        <w:rPr>
          <w:rFonts w:eastAsiaTheme="minorEastAsia"/>
        </w:rPr>
      </w:pPr>
    </w:p>
    <w:p w:rsidR="00D07788" w:rsidRDefault="0064547B">
      <w:pPr>
        <w:rPr>
          <w:rFonts w:eastAsiaTheme="minorEastAsia"/>
        </w:rPr>
      </w:pPr>
      <w:r>
        <w:rPr>
          <w:rFonts w:eastAsiaTheme="minorEastAsia"/>
        </w:rPr>
        <w:t>w</w:t>
      </w:r>
      <w:r w:rsidR="00D07788">
        <w:rPr>
          <w:rFonts w:eastAsiaTheme="minorEastAsia"/>
        </w:rPr>
        <w:t xml:space="preserve">ith </w:t>
      </w:r>
      <m:oMath>
        <m:r>
          <w:rPr>
            <w:rFonts w:ascii="Cambria Math" w:hAnsi="Cambria Math"/>
          </w:rPr>
          <m:t>g</m:t>
        </m:r>
      </m:oMath>
      <w:r w:rsidR="00D07788">
        <w:rPr>
          <w:rFonts w:eastAsiaTheme="minorEastAsia"/>
        </w:rPr>
        <w:t xml:space="preserve"> and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D07788">
        <w:rPr>
          <w:rFonts w:eastAsiaTheme="minorEastAsia"/>
        </w:rPr>
        <w:t xml:space="preserve"> the guess and lapse rates as parameterized in the mQUESTPlus function.</w:t>
      </w:r>
      <w:r w:rsidR="007A5BDF">
        <w:rPr>
          <w:rFonts w:eastAsiaTheme="minorEastAsia"/>
        </w:rPr>
        <w:t xml:space="preserve"> Here the observed high stimulus value percent correct is </w:t>
      </w:r>
      <m:oMath>
        <m:r>
          <w:rPr>
            <w:rFonts w:ascii="Cambria Math" w:hAnsi="Cambria Math"/>
          </w:rPr>
          <m:t>1-l'.</m:t>
        </m:r>
      </m:oMath>
      <w:r w:rsidR="00876C12">
        <w:rPr>
          <w:rFonts w:eastAsiaTheme="minorEastAsia"/>
        </w:rPr>
        <w:t xml:space="preserve">  That is, in this parameterization,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876C12">
        <w:rPr>
          <w:rFonts w:eastAsiaTheme="minorEastAsia"/>
        </w:rPr>
        <w:t xml:space="preserve"> is giving the directly observed drop from perfect performance at high stimulus values.</w:t>
      </w:r>
    </w:p>
    <w:p w:rsidR="00D07788" w:rsidRDefault="00D07788">
      <w:pPr>
        <w:rPr>
          <w:rFonts w:eastAsiaTheme="minorEastAsia"/>
        </w:rPr>
      </w:pPr>
    </w:p>
    <w:p w:rsidR="006F3B59" w:rsidRPr="009A5660" w:rsidRDefault="00B64346">
      <w:pPr>
        <w:rPr>
          <w:rFonts w:eastAsiaTheme="minorEastAsia"/>
        </w:rPr>
      </w:pPr>
      <w:r>
        <w:t>By inspection, we hav</w:t>
      </w:r>
      <w:r w:rsidR="00876C12">
        <w:t>e</w:t>
      </w:r>
      <w:r>
        <w:rPr>
          <w:rFonts w:eastAsiaTheme="minorEastAsia"/>
        </w:rP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r>
              <w:rPr>
                <w:rFonts w:ascii="Cambria Math" w:hAnsi="Cambria Math"/>
              </w:rPr>
              <m:t>1-g</m:t>
            </m:r>
          </m:e>
        </m:d>
      </m:oMath>
      <w:r w:rsidR="00876C12">
        <w:rPr>
          <w:rFonts w:eastAsiaTheme="minorEastAsia"/>
        </w:rPr>
        <w:t xml:space="preserve"> and </w:t>
      </w:r>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r>
          <w:rPr>
            <w:rFonts w:ascii="Cambria Math" w:hAnsi="Cambria Math"/>
          </w:rPr>
          <m:t>g</m:t>
        </m:r>
        <m:r>
          <w:rPr>
            <w:rFonts w:ascii="Cambria Math" w:hAnsi="Cambria Math"/>
          </w:rPr>
          <m:t>).</m:t>
        </m:r>
      </m:oMath>
    </w:p>
    <w:p w:rsidR="009A5660" w:rsidRDefault="009A5660">
      <w:pPr>
        <w:rPr>
          <w:rFonts w:eastAsiaTheme="minorEastAsia"/>
        </w:rPr>
      </w:pPr>
    </w:p>
    <w:p w:rsidR="009A5660" w:rsidRDefault="00AB2221">
      <w:pPr>
        <w:rPr>
          <w:rFonts w:eastAsiaTheme="minorEastAsia"/>
        </w:rPr>
      </w:pPr>
      <w:r>
        <w:rPr>
          <w:rFonts w:eastAsiaTheme="minorEastAsia"/>
        </w:rPr>
        <w:t>(Note that t</w:t>
      </w:r>
      <w:r w:rsidR="000E6271">
        <w:rPr>
          <w:rFonts w:eastAsiaTheme="minorEastAsia"/>
        </w:rPr>
        <w:t>he value</w:t>
      </w:r>
      <w:r w:rsidR="005E6FA5">
        <w:rPr>
          <w:rFonts w:eastAsiaTheme="minorEastAsia"/>
        </w:rPr>
        <w:t xml:space="preserve"> </w:t>
      </w:r>
      <w:r w:rsidR="00451EEE">
        <w:rPr>
          <w:rFonts w:eastAsiaTheme="minorEastAsia"/>
        </w:rPr>
        <w:t xml:space="preserve">of </w:t>
      </w:r>
      <m:oMath>
        <m:r>
          <w:rPr>
            <w:rFonts w:ascii="Cambria Math" w:hAnsi="Cambria Math"/>
          </w:rPr>
          <m:t>g</m:t>
        </m:r>
      </m:oMath>
      <w:r w:rsidR="005E6FA5">
        <w:rPr>
          <w:rFonts w:eastAsiaTheme="minorEastAsia"/>
        </w:rPr>
        <w:t xml:space="preserve"> </w:t>
      </w:r>
      <w:r w:rsidR="000E6271">
        <w:rPr>
          <w:rFonts w:eastAsiaTheme="minorEastAsia"/>
        </w:rPr>
        <w:t>cannot sensibly be 1</w:t>
      </w:r>
      <w:r>
        <w:rPr>
          <w:rFonts w:eastAsiaTheme="minorEastAsia"/>
        </w:rPr>
        <w:t xml:space="preserve"> for a reasonable experiment.)</w:t>
      </w:r>
    </w:p>
    <w:p w:rsidR="005E6FA5" w:rsidRDefault="005E6FA5">
      <w:pPr>
        <w:rPr>
          <w:rFonts w:eastAsiaTheme="minorEastAsia"/>
        </w:rPr>
      </w:pPr>
    </w:p>
    <w:p w:rsidR="005E6FA5" w:rsidRPr="009A5660" w:rsidRDefault="005E6FA5">
      <w:pPr>
        <w:rPr>
          <w:rFonts w:eastAsiaTheme="minorEastAsia"/>
        </w:rPr>
      </w:pPr>
      <w:r>
        <w:rPr>
          <w:rFonts w:eastAsiaTheme="minorEastAsia"/>
        </w:rPr>
        <w:t xml:space="preserve">So, the two forms can make equivalent predictions, </w:t>
      </w:r>
      <w:r w:rsidR="00451EEE">
        <w:rPr>
          <w:rFonts w:eastAsiaTheme="minorEastAsia"/>
        </w:rPr>
        <w:t>but a little bit of translation</w:t>
      </w:r>
      <w:r>
        <w:rPr>
          <w:rFonts w:eastAsiaTheme="minorEastAsia"/>
        </w:rPr>
        <w:t xml:space="preserve"> is required to shift the </w:t>
      </w:r>
      <w:r w:rsidR="00BC7F95">
        <w:rPr>
          <w:rFonts w:eastAsiaTheme="minorEastAsia"/>
        </w:rPr>
        <w:t xml:space="preserve">lapse </w:t>
      </w:r>
      <w:r>
        <w:rPr>
          <w:rFonts w:eastAsiaTheme="minorEastAsia"/>
        </w:rPr>
        <w:t xml:space="preserve">parameters for one to the </w:t>
      </w:r>
      <w:r w:rsidR="00BC7F95">
        <w:rPr>
          <w:rFonts w:eastAsiaTheme="minorEastAsia"/>
        </w:rPr>
        <w:t>lapse parameter</w:t>
      </w:r>
      <w:bookmarkStart w:id="0" w:name="_GoBack"/>
      <w:bookmarkEnd w:id="0"/>
      <w:r>
        <w:rPr>
          <w:rFonts w:eastAsiaTheme="minorEastAsia"/>
        </w:rPr>
        <w:t xml:space="preserve"> for the other.</w:t>
      </w:r>
    </w:p>
    <w:sectPr w:rsidR="005E6FA5" w:rsidRPr="009A5660"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9"/>
    <w:rsid w:val="0003424E"/>
    <w:rsid w:val="00065EAC"/>
    <w:rsid w:val="000D5BBF"/>
    <w:rsid w:val="000E6271"/>
    <w:rsid w:val="001A1EBA"/>
    <w:rsid w:val="001A2B47"/>
    <w:rsid w:val="0021682D"/>
    <w:rsid w:val="00224B1D"/>
    <w:rsid w:val="00231174"/>
    <w:rsid w:val="00245B24"/>
    <w:rsid w:val="002572F6"/>
    <w:rsid w:val="002A0977"/>
    <w:rsid w:val="002A1289"/>
    <w:rsid w:val="002C071D"/>
    <w:rsid w:val="002D485A"/>
    <w:rsid w:val="002D7729"/>
    <w:rsid w:val="0034007A"/>
    <w:rsid w:val="00373FCB"/>
    <w:rsid w:val="003C19E1"/>
    <w:rsid w:val="00444968"/>
    <w:rsid w:val="00451EEE"/>
    <w:rsid w:val="004872B2"/>
    <w:rsid w:val="004E170C"/>
    <w:rsid w:val="00536F7B"/>
    <w:rsid w:val="00545E3B"/>
    <w:rsid w:val="005A28C0"/>
    <w:rsid w:val="005B45F0"/>
    <w:rsid w:val="005B66CE"/>
    <w:rsid w:val="005E6FA5"/>
    <w:rsid w:val="006339A2"/>
    <w:rsid w:val="0064547B"/>
    <w:rsid w:val="0065668E"/>
    <w:rsid w:val="00656F22"/>
    <w:rsid w:val="006B16CA"/>
    <w:rsid w:val="006C41EF"/>
    <w:rsid w:val="006F38D0"/>
    <w:rsid w:val="006F3B59"/>
    <w:rsid w:val="00757744"/>
    <w:rsid w:val="00774C18"/>
    <w:rsid w:val="007A5BDF"/>
    <w:rsid w:val="007C7E01"/>
    <w:rsid w:val="00802AA5"/>
    <w:rsid w:val="00876C12"/>
    <w:rsid w:val="00886017"/>
    <w:rsid w:val="008D6974"/>
    <w:rsid w:val="008E662E"/>
    <w:rsid w:val="00952BD5"/>
    <w:rsid w:val="009609F2"/>
    <w:rsid w:val="00983F04"/>
    <w:rsid w:val="009A5660"/>
    <w:rsid w:val="009F3B39"/>
    <w:rsid w:val="00A02529"/>
    <w:rsid w:val="00A42B23"/>
    <w:rsid w:val="00A446C8"/>
    <w:rsid w:val="00A65F88"/>
    <w:rsid w:val="00A81555"/>
    <w:rsid w:val="00A85536"/>
    <w:rsid w:val="00AB2221"/>
    <w:rsid w:val="00AB59C2"/>
    <w:rsid w:val="00AB7E42"/>
    <w:rsid w:val="00AD1EFB"/>
    <w:rsid w:val="00B64346"/>
    <w:rsid w:val="00B709E3"/>
    <w:rsid w:val="00B76D32"/>
    <w:rsid w:val="00B96D9F"/>
    <w:rsid w:val="00BC5B82"/>
    <w:rsid w:val="00BC7F95"/>
    <w:rsid w:val="00BD183C"/>
    <w:rsid w:val="00BF4CCC"/>
    <w:rsid w:val="00C5021A"/>
    <w:rsid w:val="00CD4E9E"/>
    <w:rsid w:val="00CE36C2"/>
    <w:rsid w:val="00CF3A90"/>
    <w:rsid w:val="00D02722"/>
    <w:rsid w:val="00D07788"/>
    <w:rsid w:val="00D15D34"/>
    <w:rsid w:val="00D801F2"/>
    <w:rsid w:val="00D85C6F"/>
    <w:rsid w:val="00D9566E"/>
    <w:rsid w:val="00DC58C9"/>
    <w:rsid w:val="00DD5A36"/>
    <w:rsid w:val="00E600B9"/>
    <w:rsid w:val="00E81660"/>
    <w:rsid w:val="00E94D61"/>
    <w:rsid w:val="00EC6873"/>
    <w:rsid w:val="00EE04D3"/>
    <w:rsid w:val="00F50A80"/>
    <w:rsid w:val="00FA6525"/>
    <w:rsid w:val="00FB35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7DB"/>
  <w15:chartTrackingRefBased/>
  <w15:docId w15:val="{8A8F6722-3D2E-DF4C-81D2-29F187EE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10</cp:revision>
  <dcterms:created xsi:type="dcterms:W3CDTF">2018-05-07T17:14:00Z</dcterms:created>
  <dcterms:modified xsi:type="dcterms:W3CDTF">2018-05-08T17:32:00Z</dcterms:modified>
</cp:coreProperties>
</file>