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8CD0" w14:textId="77777777" w:rsidR="00A4398E" w:rsidRDefault="00F143B4" w:rsidP="00234AD3">
      <w:pPr>
        <w:spacing w:line="360" w:lineRule="auto"/>
        <w:contextualSpacing/>
      </w:pPr>
      <w:r w:rsidRPr="00F143B4">
        <w:rPr>
          <w:b/>
          <w:bCs/>
        </w:rPr>
        <w:t>Research Team:</w:t>
      </w:r>
      <w:r>
        <w:t xml:space="preserve"> Deena C. Elul, David H. Brainard</w:t>
      </w:r>
    </w:p>
    <w:p w14:paraId="0A33A47E" w14:textId="6E525C62" w:rsidR="00F143B4" w:rsidRDefault="004830BC" w:rsidP="00234AD3">
      <w:pPr>
        <w:spacing w:line="360" w:lineRule="auto"/>
        <w:contextualSpacing/>
      </w:pPr>
      <w:r>
        <w:rPr>
          <w:b/>
          <w:bCs/>
        </w:rPr>
        <w:t>Research Project</w:t>
      </w:r>
      <w:r w:rsidR="00F143B4" w:rsidRPr="00F143B4">
        <w:rPr>
          <w:b/>
          <w:bCs/>
        </w:rPr>
        <w:t>:</w:t>
      </w:r>
      <w:r w:rsidR="00F143B4">
        <w:t xml:space="preserve"> </w:t>
      </w:r>
      <w:r w:rsidR="006C6A1B" w:rsidRPr="006C6A1B">
        <w:t xml:space="preserve">Identifying </w:t>
      </w:r>
      <w:r w:rsidR="002C73CA">
        <w:t>i</w:t>
      </w:r>
      <w:r w:rsidR="006C6A1B" w:rsidRPr="006C6A1B">
        <w:t xml:space="preserve">ndividual </w:t>
      </w:r>
      <w:r w:rsidR="002C73CA">
        <w:t>c</w:t>
      </w:r>
      <w:r w:rsidR="006C6A1B" w:rsidRPr="006C6A1B">
        <w:t xml:space="preserve">one </w:t>
      </w:r>
      <w:r w:rsidR="002C73CA">
        <w:t>f</w:t>
      </w:r>
      <w:r w:rsidR="006C6A1B" w:rsidRPr="006C6A1B">
        <w:t xml:space="preserve">undamentals </w:t>
      </w:r>
      <w:r w:rsidR="002C73CA">
        <w:t>u</w:t>
      </w:r>
      <w:r w:rsidR="006C6A1B" w:rsidRPr="006C6A1B">
        <w:t xml:space="preserve">sing Rayleigh </w:t>
      </w:r>
      <w:r w:rsidR="002C73CA">
        <w:t>m</w:t>
      </w:r>
      <w:r w:rsidR="006C6A1B" w:rsidRPr="006C6A1B">
        <w:t>atching</w:t>
      </w:r>
    </w:p>
    <w:p w14:paraId="6B650DE5" w14:textId="750BED9A" w:rsidR="00F143B4" w:rsidRPr="00C071A8" w:rsidRDefault="006C6A1B" w:rsidP="00234AD3">
      <w:pPr>
        <w:spacing w:line="360" w:lineRule="auto"/>
        <w:contextualSpacing/>
      </w:pPr>
      <w:r>
        <w:rPr>
          <w:b/>
          <w:bCs/>
        </w:rPr>
        <w:t xml:space="preserve">Experiment: </w:t>
      </w:r>
      <w:r>
        <w:t>Forced-</w:t>
      </w:r>
      <w:r w:rsidR="002C73CA">
        <w:t>c</w:t>
      </w:r>
      <w:r>
        <w:t xml:space="preserve">hoice Rayleigh </w:t>
      </w:r>
      <w:r w:rsidR="002C73CA">
        <w:t>m</w:t>
      </w:r>
      <w:r>
        <w:t xml:space="preserve">atching </w:t>
      </w:r>
      <w:r w:rsidR="00597CFC">
        <w:t xml:space="preserve">using a </w:t>
      </w:r>
      <w:proofErr w:type="spellStart"/>
      <w:r w:rsidR="00597CFC">
        <w:t>OneLight</w:t>
      </w:r>
      <w:proofErr w:type="spellEnd"/>
      <w:r w:rsidR="00597CFC">
        <w:t xml:space="preserve"> Spectra digital light synthesis engine</w:t>
      </w:r>
    </w:p>
    <w:p w14:paraId="0AEB475F" w14:textId="5C07C05C" w:rsidR="003A4AF5" w:rsidRPr="003A4AF5" w:rsidRDefault="003A4AF5" w:rsidP="00234AD3">
      <w:pPr>
        <w:spacing w:line="360" w:lineRule="auto"/>
        <w:contextualSpacing/>
      </w:pPr>
    </w:p>
    <w:p w14:paraId="3261D02B" w14:textId="1DF755B9" w:rsidR="003A4AF5" w:rsidRDefault="001F18D6" w:rsidP="00234AD3">
      <w:pPr>
        <w:spacing w:line="360" w:lineRule="auto"/>
        <w:contextualSpacing/>
        <w:rPr>
          <w:b/>
          <w:bCs/>
        </w:rPr>
      </w:pPr>
      <w:r w:rsidRPr="001F18D6">
        <w:rPr>
          <w:b/>
          <w:bCs/>
        </w:rPr>
        <w:t>Background/Experimental question:</w:t>
      </w:r>
    </w:p>
    <w:p w14:paraId="5EC6DDF9" w14:textId="382CC0DB" w:rsidR="00917EE3" w:rsidRDefault="002C39C0" w:rsidP="00234AD3">
      <w:pPr>
        <w:spacing w:line="360" w:lineRule="auto"/>
      </w:pPr>
      <w:r w:rsidRPr="00B22464">
        <w:t xml:space="preserve">Individual differences in human L and M cone fundamentals occur because of </w:t>
      </w:r>
      <w:r w:rsidR="00F00DCF">
        <w:t>variation</w:t>
      </w:r>
      <w:r w:rsidRPr="00B22464">
        <w:t xml:space="preserve"> in wavelength of photopigment peak spectral sensitivity (lambda max) and in photopigment optical density. </w:t>
      </w:r>
      <w:r w:rsidR="00BA2E70">
        <w:t xml:space="preserve">Because </w:t>
      </w:r>
      <w:r w:rsidR="00F735A1">
        <w:t>differences</w:t>
      </w:r>
      <w:r w:rsidR="00917EE3" w:rsidRPr="00917EE3">
        <w:t xml:space="preserve"> </w:t>
      </w:r>
      <w:r w:rsidR="00F00DCF">
        <w:t xml:space="preserve">in cone fundamentals </w:t>
      </w:r>
      <w:r w:rsidR="00917EE3" w:rsidRPr="00917EE3">
        <w:t>lead to individual variability in color perception</w:t>
      </w:r>
      <w:r w:rsidR="00F735A1">
        <w:t xml:space="preserve">, characterizing </w:t>
      </w:r>
      <w:r w:rsidR="00BA2E70">
        <w:t>the</w:t>
      </w:r>
      <w:r w:rsidR="00F00DCF">
        <w:t>se individual difference</w:t>
      </w:r>
      <w:r w:rsidR="009E7C8F">
        <w:t xml:space="preserve">s </w:t>
      </w:r>
      <w:r w:rsidR="00BA2E70">
        <w:t>holds many practical applications</w:t>
      </w:r>
      <w:r w:rsidR="00917EE3" w:rsidRPr="00917EE3">
        <w:t xml:space="preserve">. </w:t>
      </w:r>
    </w:p>
    <w:p w14:paraId="32DA7D21" w14:textId="4388833F" w:rsidR="00D75D0F" w:rsidRDefault="00ED3624" w:rsidP="00234AD3">
      <w:pPr>
        <w:spacing w:line="360" w:lineRule="auto"/>
      </w:pPr>
      <w:r>
        <w:t>Several</w:t>
      </w:r>
      <w:r w:rsidR="00CF157E">
        <w:t xml:space="preserve"> methods exist for estimating </w:t>
      </w:r>
      <w:r w:rsidR="006A53AF">
        <w:t>cone individual difference</w:t>
      </w:r>
      <w:r w:rsidR="00CF157E">
        <w:t xml:space="preserve"> parameters, including color match</w:t>
      </w:r>
      <w:r w:rsidR="00FB3894">
        <w:t>ing</w:t>
      </w:r>
      <w:r w:rsidR="006A53AF">
        <w:t xml:space="preserve"> </w:t>
      </w:r>
      <w:r w:rsidR="00CF157E">
        <w:t>(</w:t>
      </w:r>
      <w:r w:rsidR="00CF157E" w:rsidRPr="00A55072">
        <w:t>Asano, Fairchild,</w:t>
      </w:r>
      <w:r w:rsidR="00CF157E">
        <w:t xml:space="preserve"> </w:t>
      </w:r>
      <w:proofErr w:type="spellStart"/>
      <w:r w:rsidR="00CF157E" w:rsidRPr="00A55072">
        <w:t>Blondé</w:t>
      </w:r>
      <w:proofErr w:type="spellEnd"/>
      <w:r w:rsidR="00CF157E" w:rsidRPr="00A55072">
        <w:t xml:space="preserve">, </w:t>
      </w:r>
      <w:r w:rsidR="00CF157E">
        <w:t xml:space="preserve">&amp; </w:t>
      </w:r>
      <w:proofErr w:type="spellStart"/>
      <w:r w:rsidR="00CF157E" w:rsidRPr="00A55072">
        <w:t>Morvan</w:t>
      </w:r>
      <w:proofErr w:type="spellEnd"/>
      <w:r w:rsidR="00CF157E">
        <w:t xml:space="preserve">, 2016), </w:t>
      </w:r>
      <w:r w:rsidR="008C3339">
        <w:t>Rayleigh matching (</w:t>
      </w:r>
      <w:proofErr w:type="spellStart"/>
      <w:r w:rsidR="008C3339">
        <w:t>Neitz</w:t>
      </w:r>
      <w:proofErr w:type="spellEnd"/>
      <w:r w:rsidR="008C3339">
        <w:t xml:space="preserve"> &amp; Jacobs, 1986; </w:t>
      </w:r>
      <w:proofErr w:type="spellStart"/>
      <w:r w:rsidR="008C3339">
        <w:t>Sanocki</w:t>
      </w:r>
      <w:proofErr w:type="spellEnd"/>
      <w:r w:rsidR="008C3339">
        <w:t xml:space="preserve"> et al., 1993; He &amp; </w:t>
      </w:r>
      <w:proofErr w:type="spellStart"/>
      <w:r w:rsidR="008C3339">
        <w:t>Shevell</w:t>
      </w:r>
      <w:proofErr w:type="spellEnd"/>
      <w:r w:rsidR="008C3339">
        <w:t xml:space="preserve">, 1994), </w:t>
      </w:r>
      <w:r w:rsidR="00CF157E">
        <w:t>Moreland matc</w:t>
      </w:r>
      <w:r w:rsidR="00FB3894">
        <w:t>hing</w:t>
      </w:r>
      <w:r w:rsidR="00CF157E">
        <w:t xml:space="preserve"> (Moreland and Kerr, 1979; Moreland, 2004), analysis of the genes that encode photoreceptor photopigments (</w:t>
      </w:r>
      <w:proofErr w:type="spellStart"/>
      <w:r w:rsidR="00CF157E">
        <w:t>Neitz</w:t>
      </w:r>
      <w:proofErr w:type="spellEnd"/>
      <w:r w:rsidR="00CF157E">
        <w:t xml:space="preserve"> &amp; </w:t>
      </w:r>
      <w:proofErr w:type="spellStart"/>
      <w:r w:rsidR="00CF157E">
        <w:t>Neitz</w:t>
      </w:r>
      <w:proofErr w:type="spellEnd"/>
      <w:r w:rsidR="00CF157E">
        <w:t xml:space="preserve">, 2011), </w:t>
      </w:r>
      <w:r w:rsidR="00FB3894">
        <w:t xml:space="preserve">and </w:t>
      </w:r>
      <w:r w:rsidR="00CF157E">
        <w:t>electroretinogram (ERG) flicker photometry (Jacobs et al., 1996)</w:t>
      </w:r>
      <w:r w:rsidR="009E7C8F">
        <w:t xml:space="preserve">. </w:t>
      </w:r>
      <w:r w:rsidR="00CF157E">
        <w:t xml:space="preserve">However, </w:t>
      </w:r>
      <w:r w:rsidR="00FB3894">
        <w:t>some</w:t>
      </w:r>
      <w:r w:rsidR="00CF157E">
        <w:t xml:space="preserve"> of these techniques are </w:t>
      </w:r>
      <w:r w:rsidR="00A1111E">
        <w:t xml:space="preserve">time consuming or </w:t>
      </w:r>
      <w:r w:rsidR="00DB1682">
        <w:t>do not uniquely determine the cone fundamentals</w:t>
      </w:r>
      <w:r w:rsidR="00A1111E">
        <w:t>.</w:t>
      </w:r>
    </w:p>
    <w:p w14:paraId="109A1959" w14:textId="3F9DAB3D" w:rsidR="00D055A3" w:rsidRDefault="00DF41B5" w:rsidP="00234AD3">
      <w:pPr>
        <w:spacing w:line="360" w:lineRule="auto"/>
      </w:pPr>
      <w:r>
        <w:t xml:space="preserve">The </w:t>
      </w:r>
      <w:r w:rsidR="00FB3894">
        <w:t>proposed</w:t>
      </w:r>
      <w:r>
        <w:t xml:space="preserve"> experiment aims to evaluate the use of </w:t>
      </w:r>
      <w:r w:rsidR="00B54A69">
        <w:t xml:space="preserve">Rayleigh matching </w:t>
      </w:r>
      <w:r w:rsidR="002C39C0" w:rsidRPr="00B22464">
        <w:t>to estimate</w:t>
      </w:r>
      <w:r w:rsidR="00784752">
        <w:t xml:space="preserve"> </w:t>
      </w:r>
      <w:r w:rsidR="00846DE2">
        <w:t>individual difference</w:t>
      </w:r>
      <w:r w:rsidR="002C39C0" w:rsidRPr="00B22464">
        <w:t xml:space="preserve"> parameters</w:t>
      </w:r>
      <w:r w:rsidR="00846DE2">
        <w:t xml:space="preserve"> for L and M cones</w:t>
      </w:r>
      <w:r w:rsidR="00B54A69">
        <w:t xml:space="preserve">. </w:t>
      </w:r>
      <w:r w:rsidR="00296A4E">
        <w:t>(Since Rayleigh matching uses longer wavelengths, it does not reveal information about S cones).</w:t>
      </w:r>
      <w:r w:rsidR="005A468D">
        <w:t xml:space="preserve"> </w:t>
      </w:r>
      <w:r w:rsidR="00CC5466">
        <w:t xml:space="preserve">Thomas and </w:t>
      </w:r>
      <w:proofErr w:type="spellStart"/>
      <w:r w:rsidR="00CC5466">
        <w:t>Mollon</w:t>
      </w:r>
      <w:proofErr w:type="spellEnd"/>
      <w:r w:rsidR="00CC5466">
        <w:t xml:space="preserve"> (2004) found that</w:t>
      </w:r>
      <w:r w:rsidR="00ED3624">
        <w:t xml:space="preserve"> </w:t>
      </w:r>
      <w:r w:rsidR="00B54A69">
        <w:t>c</w:t>
      </w:r>
      <w:r w:rsidR="002C39C0" w:rsidRPr="00B22464">
        <w:t xml:space="preserve">hanges in lambda max and optical density are confounded when </w:t>
      </w:r>
      <w:r w:rsidR="00B54A69">
        <w:t xml:space="preserve">Rayleigh matches are conducted </w:t>
      </w:r>
      <w:r w:rsidR="00DB1682">
        <w:t xml:space="preserve">for </w:t>
      </w:r>
      <w:r w:rsidR="002C39C0" w:rsidRPr="00B22464">
        <w:t>a single reference wavelength</w:t>
      </w:r>
      <w:r w:rsidR="00CC5466">
        <w:t xml:space="preserve">. </w:t>
      </w:r>
      <w:r w:rsidR="003A0EFF">
        <w:t xml:space="preserve">In this </w:t>
      </w:r>
      <w:r w:rsidR="005A468D">
        <w:t>project</w:t>
      </w:r>
      <w:r w:rsidR="003A0EFF">
        <w:t xml:space="preserve">, we will </w:t>
      </w:r>
      <w:r w:rsidR="005A468D">
        <w:t xml:space="preserve">investigate </w:t>
      </w:r>
      <w:r w:rsidR="003A0EFF">
        <w:t>whether</w:t>
      </w:r>
      <w:r w:rsidR="00BF4A2B">
        <w:t xml:space="preserve"> </w:t>
      </w:r>
      <w:r w:rsidR="00EF7580">
        <w:t xml:space="preserve">a series of </w:t>
      </w:r>
      <w:r w:rsidR="00D055A3">
        <w:t>Rayleigh match</w:t>
      </w:r>
      <w:r w:rsidR="00EF7580">
        <w:t>es</w:t>
      </w:r>
      <w:r w:rsidR="00D055A3">
        <w:t xml:space="preserve"> with </w:t>
      </w:r>
      <w:r w:rsidR="002C39C0" w:rsidRPr="00B22464">
        <w:t>multiple reference wavelengths</w:t>
      </w:r>
      <w:r w:rsidR="00BF4A2B">
        <w:t xml:space="preserve"> can be used</w:t>
      </w:r>
      <w:r w:rsidR="002C39C0" w:rsidRPr="00B22464">
        <w:t xml:space="preserve"> </w:t>
      </w:r>
      <w:r w:rsidR="00E53373">
        <w:t xml:space="preserve">to disambiguate these parameters. </w:t>
      </w:r>
      <w:r w:rsidR="002C39C0" w:rsidRPr="00B22464">
        <w:t xml:space="preserve"> </w:t>
      </w:r>
    </w:p>
    <w:p w14:paraId="14996506" w14:textId="3D31484C" w:rsidR="00CE5608" w:rsidRDefault="0041221B" w:rsidP="00234AD3">
      <w:pPr>
        <w:spacing w:line="360" w:lineRule="auto"/>
      </w:pPr>
      <w:r>
        <w:t xml:space="preserve">We previously conducted simulations to explore the </w:t>
      </w:r>
      <w:r w:rsidR="00EF7580">
        <w:t>feasibility of a Rayleigh matching procedure with multiple reference wavelengths</w:t>
      </w:r>
      <w:r w:rsidR="00B4389C">
        <w:t xml:space="preserve">. </w:t>
      </w:r>
      <w:r w:rsidR="002C39C0" w:rsidRPr="00B22464">
        <w:t>We</w:t>
      </w:r>
      <w:r w:rsidR="00296FC6" w:rsidRPr="00296FC6">
        <w:t xml:space="preserve"> </w:t>
      </w:r>
      <w:r w:rsidR="009B0670">
        <w:t xml:space="preserve">generated simulated observer cone fundamentals using the </w:t>
      </w:r>
      <w:r w:rsidR="009B0670" w:rsidRPr="00B22464">
        <w:t>Asano et al. (2016) model of population variation in lambda max and optical density</w:t>
      </w:r>
      <w:r w:rsidR="00E70B2D">
        <w:t xml:space="preserve">, had </w:t>
      </w:r>
      <w:r w:rsidR="002B12C4">
        <w:t xml:space="preserve">simulated </w:t>
      </w:r>
      <w:r w:rsidR="00E70B2D">
        <w:t>observers complete a series of Rayleigh matches</w:t>
      </w:r>
      <w:r w:rsidR="003C55B3">
        <w:t xml:space="preserve"> using a simulated forced-choice staircase procedure</w:t>
      </w:r>
      <w:r w:rsidR="00E70B2D">
        <w:t>, and fit the parameters of the Asano et al. model</w:t>
      </w:r>
      <w:r w:rsidR="00487DE0">
        <w:t xml:space="preserve"> to best account for </w:t>
      </w:r>
      <w:r w:rsidR="00491B82">
        <w:t>observers’ match data</w:t>
      </w:r>
      <w:r w:rsidR="009B0670" w:rsidRPr="00B22464">
        <w:t>.</w:t>
      </w:r>
      <w:r w:rsidR="009B0670">
        <w:t xml:space="preserve"> </w:t>
      </w:r>
      <w:r w:rsidR="00491B82">
        <w:t>The results from the simulations will be presented at the Vision Sciences Society annual meeting in May 2021. In general, w</w:t>
      </w:r>
      <w:r w:rsidR="00576139">
        <w:t>e found t</w:t>
      </w:r>
      <w:r w:rsidR="00832BF7">
        <w:t xml:space="preserve">hat </w:t>
      </w:r>
      <w:r w:rsidR="008E2134">
        <w:t xml:space="preserve">a series of Rayleigh matches allowed </w:t>
      </w:r>
      <w:r w:rsidR="00694E6C">
        <w:t>accurate</w:t>
      </w:r>
      <w:r w:rsidR="008E2134">
        <w:t xml:space="preserve"> recovery of </w:t>
      </w:r>
      <w:r w:rsidR="0042222B">
        <w:t>individual difference parameters and of L and M cone fundamentals</w:t>
      </w:r>
      <w:r w:rsidR="00832BF7">
        <w:t>.</w:t>
      </w:r>
      <w:r w:rsidR="0042222B">
        <w:t xml:space="preserve"> </w:t>
      </w:r>
      <w:r w:rsidR="00CF11C9">
        <w:t>This validate</w:t>
      </w:r>
      <w:r w:rsidR="003B7F40">
        <w:t>s our approach in principle,</w:t>
      </w:r>
      <w:r w:rsidR="00CF11C9">
        <w:t xml:space="preserve"> indicat</w:t>
      </w:r>
      <w:r w:rsidR="003B7F40">
        <w:t>ing</w:t>
      </w:r>
      <w:r w:rsidR="00CF11C9">
        <w:t xml:space="preserve"> that </w:t>
      </w:r>
      <w:r w:rsidR="00CF11C9" w:rsidRPr="00B22464">
        <w:t xml:space="preserve">Rayleigh matching with multiple reference wavelengths can resolve ambiguity about L and M cone fundamentals that occurs when a single reference wavelength is used. </w:t>
      </w:r>
      <w:r w:rsidR="00832BF7">
        <w:t xml:space="preserve">However, </w:t>
      </w:r>
      <w:r w:rsidR="003B7F40">
        <w:t xml:space="preserve">we found that </w:t>
      </w:r>
      <w:r w:rsidR="00CE5608">
        <w:t xml:space="preserve">cone recovery became </w:t>
      </w:r>
      <w:r w:rsidR="00CE5608">
        <w:lastRenderedPageBreak/>
        <w:t>less accurate</w:t>
      </w:r>
      <w:r w:rsidR="00832BF7">
        <w:t xml:space="preserve"> as increasing levels of noise were added to simulated observer</w:t>
      </w:r>
      <w:r w:rsidR="009B03BA">
        <w:t>s’ matching decisions.</w:t>
      </w:r>
      <w:r w:rsidR="003B7F40">
        <w:t xml:space="preserve"> </w:t>
      </w:r>
      <w:r w:rsidR="00796F32">
        <w:t>Because of this</w:t>
      </w:r>
      <w:r w:rsidR="00563DF0">
        <w:t xml:space="preserve">, further investigation is needed to determine whether </w:t>
      </w:r>
      <w:r w:rsidR="003D5BE7">
        <w:t>our</w:t>
      </w:r>
      <w:r w:rsidR="00796F32">
        <w:t xml:space="preserve"> approach is feasible in an experimental setting.</w:t>
      </w:r>
    </w:p>
    <w:p w14:paraId="49974FEE" w14:textId="6E4DE082" w:rsidR="001A284A" w:rsidRDefault="003B7F40" w:rsidP="00234AD3">
      <w:pPr>
        <w:spacing w:line="360" w:lineRule="auto"/>
        <w:contextualSpacing/>
        <w:rPr>
          <w:b/>
          <w:bCs/>
        </w:rPr>
      </w:pPr>
      <w:r>
        <w:t>The pr</w:t>
      </w:r>
      <w:r w:rsidR="0005369F">
        <w:t>oposed pilot experiment</w:t>
      </w:r>
      <w:r w:rsidR="00197F69">
        <w:t xml:space="preserve"> is an initial evaluation of </w:t>
      </w:r>
      <w:r w:rsidR="00945CC1">
        <w:t xml:space="preserve">a </w:t>
      </w:r>
      <w:r w:rsidR="00E400E8">
        <w:t xml:space="preserve">forced-choice </w:t>
      </w:r>
      <w:r w:rsidR="00945CC1">
        <w:t>Rayleigh matching procedure with multiple reference wavelengths in human observers. I</w:t>
      </w:r>
      <w:r w:rsidR="0005423C">
        <w:t>t</w:t>
      </w:r>
      <w:r w:rsidR="00945CC1">
        <w:t xml:space="preserve"> </w:t>
      </w:r>
      <w:r w:rsidR="002B12C4">
        <w:t>employs a</w:t>
      </w:r>
      <w:r w:rsidR="008F51EF">
        <w:t xml:space="preserve"> procedure</w:t>
      </w:r>
      <w:r w:rsidR="002B12C4">
        <w:t xml:space="preserve"> </w:t>
      </w:r>
      <w:proofErr w:type="gramStart"/>
      <w:r w:rsidR="002B12C4">
        <w:t>similar</w:t>
      </w:r>
      <w:r w:rsidR="008F51EF">
        <w:t xml:space="preserve"> to</w:t>
      </w:r>
      <w:proofErr w:type="gramEnd"/>
      <w:r w:rsidR="008F51EF">
        <w:t xml:space="preserve"> </w:t>
      </w:r>
      <w:r w:rsidR="002B12C4">
        <w:t>that of our</w:t>
      </w:r>
      <w:r w:rsidR="008F51EF">
        <w:t xml:space="preserve"> simulations</w:t>
      </w:r>
      <w:r w:rsidR="00F56383">
        <w:t xml:space="preserve"> and uses much of the same experimental code</w:t>
      </w:r>
      <w:r w:rsidR="006413F6">
        <w:t xml:space="preserve">, but it displays lights </w:t>
      </w:r>
      <w:r w:rsidR="0005423C">
        <w:t>using a</w:t>
      </w:r>
      <w:r w:rsidR="005A468D">
        <w:t>n actual</w:t>
      </w:r>
      <w:r w:rsidR="0005423C">
        <w:t xml:space="preserve"> digital light synthesis engine under computer control (</w:t>
      </w:r>
      <w:proofErr w:type="spellStart"/>
      <w:r w:rsidR="0005423C">
        <w:t>OneLight</w:t>
      </w:r>
      <w:proofErr w:type="spellEnd"/>
      <w:r w:rsidR="0005423C">
        <w:t xml:space="preserve"> Spectra). In this pilot study, we aim </w:t>
      </w:r>
      <w:r w:rsidR="00A3300C">
        <w:t xml:space="preserve">to </w:t>
      </w:r>
      <w:r w:rsidR="001A284A">
        <w:t xml:space="preserve">test the within-subject reliability of a forced-choice Rayleigh matching procedure using the </w:t>
      </w:r>
      <w:proofErr w:type="spellStart"/>
      <w:r w:rsidR="001A284A">
        <w:t>OneLight</w:t>
      </w:r>
      <w:proofErr w:type="spellEnd"/>
      <w:r w:rsidR="00A3300C">
        <w:t xml:space="preserve">, as well as analyze differences in </w:t>
      </w:r>
      <w:r w:rsidR="006413F6">
        <w:t>Rayleigh match</w:t>
      </w:r>
      <w:r w:rsidR="00F757C1">
        <w:t>ing</w:t>
      </w:r>
      <w:r w:rsidR="00A3300C">
        <w:t xml:space="preserve"> between subjects. </w:t>
      </w:r>
      <w:r w:rsidR="002E2E89">
        <w:t>We will also</w:t>
      </w:r>
      <w:r w:rsidR="001A284A">
        <w:t xml:space="preserve"> test whether subjects’ measured Rayleigh matches can be used to generate reasonable estimates of their cone fundamentals that incorporate individual differences</w:t>
      </w:r>
      <w:r w:rsidR="002E2E89">
        <w:t xml:space="preserve">. </w:t>
      </w:r>
      <w:r w:rsidR="00F757C1">
        <w:t xml:space="preserve">This will provide an initial evaluation of our </w:t>
      </w:r>
      <w:r w:rsidR="00A8786E">
        <w:t xml:space="preserve">approach. </w:t>
      </w:r>
    </w:p>
    <w:p w14:paraId="74612E1A" w14:textId="77777777" w:rsidR="00B94A5C" w:rsidRDefault="00B94A5C" w:rsidP="00234AD3">
      <w:pPr>
        <w:spacing w:line="360" w:lineRule="auto"/>
        <w:contextualSpacing/>
        <w:rPr>
          <w:b/>
          <w:bCs/>
        </w:rPr>
      </w:pPr>
    </w:p>
    <w:p w14:paraId="206B0011" w14:textId="36564AA0" w:rsidR="00F143B4" w:rsidRDefault="001F18D6" w:rsidP="00234AD3">
      <w:pPr>
        <w:spacing w:line="360" w:lineRule="auto"/>
        <w:contextualSpacing/>
        <w:rPr>
          <w:b/>
          <w:bCs/>
        </w:rPr>
      </w:pPr>
      <w:r>
        <w:rPr>
          <w:b/>
          <w:bCs/>
        </w:rPr>
        <w:t>Methods/Approach:</w:t>
      </w:r>
    </w:p>
    <w:p w14:paraId="76CDB949" w14:textId="43EE4160" w:rsidR="00F143B4" w:rsidRPr="001A284A" w:rsidRDefault="00F143B4" w:rsidP="00234AD3">
      <w:pPr>
        <w:spacing w:line="360" w:lineRule="auto"/>
        <w:contextualSpacing/>
        <w:rPr>
          <w:i/>
          <w:iCs/>
        </w:rPr>
      </w:pPr>
      <w:r w:rsidRPr="001A284A">
        <w:rPr>
          <w:i/>
          <w:iCs/>
        </w:rPr>
        <w:t>Subjects</w:t>
      </w:r>
    </w:p>
    <w:p w14:paraId="01ABA303" w14:textId="48FAEF7F" w:rsidR="00F143B4" w:rsidRDefault="00D978EE" w:rsidP="00BF6423">
      <w:pPr>
        <w:spacing w:line="360" w:lineRule="auto"/>
      </w:pPr>
      <w:r>
        <w:t>The two members of the research team</w:t>
      </w:r>
      <w:r w:rsidR="00B25E07">
        <w:t xml:space="preserve"> will </w:t>
      </w:r>
      <w:r>
        <w:t>serve as subjects</w:t>
      </w:r>
      <w:r w:rsidR="00B25E07">
        <w:t xml:space="preserve"> in the </w:t>
      </w:r>
      <w:r>
        <w:t xml:space="preserve">initial pilot </w:t>
      </w:r>
      <w:r w:rsidR="00B25E07">
        <w:t xml:space="preserve">experiment. </w:t>
      </w:r>
      <w:r w:rsidR="00032D80">
        <w:t>Both subjects are over age 18</w:t>
      </w:r>
      <w:r w:rsidR="00C75044">
        <w:t xml:space="preserve"> and have no known </w:t>
      </w:r>
      <w:r w:rsidR="00E60206">
        <w:t xml:space="preserve">color deficiencies. </w:t>
      </w:r>
      <w:r>
        <w:t xml:space="preserve">Both are familiar with the </w:t>
      </w:r>
      <w:r w:rsidR="00032D80">
        <w:t>purpose of the study a</w:t>
      </w:r>
      <w:r w:rsidR="006C4BCC">
        <w:t xml:space="preserve">nd </w:t>
      </w:r>
      <w:r w:rsidR="00032D80">
        <w:t xml:space="preserve">have experience with the experimental procedure. </w:t>
      </w:r>
      <w:r w:rsidR="009160BF">
        <w:t>The experimental protocols are approved by the UPenn IRB</w:t>
      </w:r>
      <w:r w:rsidR="00BF6423">
        <w:t>,</w:t>
      </w:r>
      <w:r w:rsidR="009160BF">
        <w:t xml:space="preserve"> and both subjects will provide informed consent</w:t>
      </w:r>
      <w:r w:rsidR="00BF6423">
        <w:t>.</w:t>
      </w:r>
    </w:p>
    <w:p w14:paraId="1FCB3C36" w14:textId="230DE063" w:rsidR="00FC514D" w:rsidRDefault="00FC514D" w:rsidP="00234AD3">
      <w:pPr>
        <w:spacing w:line="360" w:lineRule="auto"/>
        <w:rPr>
          <w:i/>
          <w:iCs/>
        </w:rPr>
      </w:pPr>
      <w:r>
        <w:rPr>
          <w:i/>
          <w:iCs/>
        </w:rPr>
        <w:t xml:space="preserve">Sessions </w:t>
      </w:r>
    </w:p>
    <w:p w14:paraId="50B5342C" w14:textId="77181010" w:rsidR="00FC514D" w:rsidRDefault="005A468D" w:rsidP="00234AD3">
      <w:pPr>
        <w:spacing w:line="360" w:lineRule="auto"/>
      </w:pPr>
      <w:r>
        <w:t xml:space="preserve">Each subject will complete Rayleigh matches in several experimental sessions. Matches will be made for each of six </w:t>
      </w:r>
      <w:r w:rsidR="000F7692">
        <w:t>reference</w:t>
      </w:r>
      <w:r>
        <w:t xml:space="preserve"> wavelengths (see </w:t>
      </w:r>
      <w:r w:rsidRPr="000F7692">
        <w:rPr>
          <w:i/>
          <w:iCs/>
        </w:rPr>
        <w:t>Stimuli</w:t>
      </w:r>
      <w:r>
        <w:t xml:space="preserve">). </w:t>
      </w:r>
      <w:r w:rsidR="00FC514D">
        <w:t xml:space="preserve">Each subject will complete </w:t>
      </w:r>
      <w:r>
        <w:t xml:space="preserve">four matches for each </w:t>
      </w:r>
      <w:r w:rsidR="000F7692">
        <w:t>reference</w:t>
      </w:r>
      <w:r>
        <w:t xml:space="preserve"> wavelength. Two of the matches will be within a single session, and two will be completed in a session on a different day. The exact distribution of matches across sessions will be governed by </w:t>
      </w:r>
      <w:r w:rsidR="00C1256E">
        <w:t>how many matches each subject can complete within an experimental session. Sessions will generally last one to two hours.</w:t>
      </w:r>
    </w:p>
    <w:p w14:paraId="7D8DC42B" w14:textId="70E361AB" w:rsidR="008A4FF5" w:rsidRDefault="00BF6423" w:rsidP="00234AD3">
      <w:pPr>
        <w:spacing w:line="360" w:lineRule="auto"/>
      </w:pPr>
      <w:r>
        <w:t xml:space="preserve">For each </w:t>
      </w:r>
      <w:r w:rsidR="008A4FF5">
        <w:t>subject</w:t>
      </w:r>
      <w:r>
        <w:t xml:space="preserve">, </w:t>
      </w:r>
      <w:r w:rsidR="008A4FF5">
        <w:t>the different reference wavelengths will be tested in a pseudorandom order</w:t>
      </w:r>
      <w:r>
        <w:t xml:space="preserve">. A vector containing </w:t>
      </w:r>
      <w:r w:rsidR="008A4FF5">
        <w:t xml:space="preserve">all possible reference wavelengths will be shuffled by using </w:t>
      </w:r>
      <w:proofErr w:type="spellStart"/>
      <w:r w:rsidR="008A4FF5">
        <w:t>Matlab’s</w:t>
      </w:r>
      <w:proofErr w:type="spellEnd"/>
      <w:r w:rsidR="008A4FF5">
        <w:t xml:space="preserve"> </w:t>
      </w:r>
      <w:proofErr w:type="spellStart"/>
      <w:proofErr w:type="gramStart"/>
      <w:r w:rsidR="008A4FF5">
        <w:t>randperm</w:t>
      </w:r>
      <w:proofErr w:type="spellEnd"/>
      <w:r w:rsidR="008A4FF5">
        <w:t>(</w:t>
      </w:r>
      <w:proofErr w:type="gramEnd"/>
      <w:r w:rsidR="008A4FF5">
        <w:t>) function to generate a new indexing</w:t>
      </w:r>
      <w:r w:rsidR="000C0280">
        <w:t xml:space="preserve">, and </w:t>
      </w:r>
      <w:r w:rsidR="008A4FF5">
        <w:t xml:space="preserve">Rayleigh matches will be conducted in the order specified by the shuffled vector. Separate shuffled vectors will be generated for the ‘first day’ sessions and the ‘second day’ sessions. </w:t>
      </w:r>
    </w:p>
    <w:p w14:paraId="3AE16CE4" w14:textId="3CAACA59" w:rsidR="00BF6423" w:rsidRPr="00BF6423" w:rsidRDefault="008A4FF5" w:rsidP="000C0280">
      <w:pPr>
        <w:spacing w:line="360" w:lineRule="auto"/>
      </w:pPr>
      <w:r>
        <w:lastRenderedPageBreak/>
        <w:t xml:space="preserve">For each reference wavelength on each day, two Rayleigh matches will be made in succession—one with the primary mixture displayed first, and one with the reference light displayed first. </w:t>
      </w:r>
      <w:r w:rsidR="000C0280">
        <w:t>The order of these two matches for a given reference wavelength will be randomized.</w:t>
      </w:r>
    </w:p>
    <w:p w14:paraId="1EA21DB0" w14:textId="1B2094E2" w:rsidR="00F143B4" w:rsidRPr="001A284A" w:rsidRDefault="00106E81" w:rsidP="00234AD3">
      <w:pPr>
        <w:spacing w:line="360" w:lineRule="auto"/>
        <w:contextualSpacing/>
        <w:rPr>
          <w:i/>
          <w:iCs/>
        </w:rPr>
      </w:pPr>
      <w:r>
        <w:rPr>
          <w:i/>
          <w:iCs/>
        </w:rPr>
        <w:t>Rayleigh Matching</w:t>
      </w:r>
      <w:r w:rsidR="00F143B4" w:rsidRPr="001A284A">
        <w:rPr>
          <w:i/>
          <w:iCs/>
        </w:rPr>
        <w:t xml:space="preserve"> Procedure</w:t>
      </w:r>
    </w:p>
    <w:p w14:paraId="6DCFFDBA" w14:textId="7B8BF652" w:rsidR="00056C2B" w:rsidRDefault="00F143B4" w:rsidP="00234AD3">
      <w:pPr>
        <w:spacing w:line="360" w:lineRule="auto"/>
      </w:pPr>
      <w:r>
        <w:t>Subjects wil</w:t>
      </w:r>
      <w:r w:rsidR="00BD7D34">
        <w:t>l conduct a series</w:t>
      </w:r>
      <w:r>
        <w:t xml:space="preserve"> of </w:t>
      </w:r>
      <w:r w:rsidR="00EF11CE">
        <w:t xml:space="preserve">forced-choice </w:t>
      </w:r>
      <w:r>
        <w:t xml:space="preserve">Rayleigh matches </w:t>
      </w:r>
      <w:r w:rsidR="002B12C4">
        <w:t xml:space="preserve">using </w:t>
      </w:r>
      <w:r>
        <w:t xml:space="preserve">the </w:t>
      </w:r>
      <w:proofErr w:type="spellStart"/>
      <w:r>
        <w:t>OneLight</w:t>
      </w:r>
      <w:proofErr w:type="spellEnd"/>
      <w:r>
        <w:t xml:space="preserve"> Spectra digital light synthesis engine. </w:t>
      </w:r>
      <w:r w:rsidR="0092335C">
        <w:t>T</w:t>
      </w:r>
      <w:r w:rsidR="006D2289">
        <w:t xml:space="preserve">hey will be shown two fields in alternation: a primary mixture and a reference </w:t>
      </w:r>
      <w:r w:rsidR="00D95CD3">
        <w:t>light</w:t>
      </w:r>
      <w:r w:rsidR="006D2289">
        <w:t>.</w:t>
      </w:r>
      <w:r w:rsidR="00D95CD3">
        <w:t xml:space="preserve"> The wavelengths of these lights will be fixed for the duration of a given Rayleigh </w:t>
      </w:r>
      <w:r w:rsidR="000F7692">
        <w:t>match.</w:t>
      </w:r>
      <w:r w:rsidR="006A23B8">
        <w:t xml:space="preserve"> </w:t>
      </w:r>
      <w:r w:rsidR="00056C2B">
        <w:t xml:space="preserve">Each Rayleigh match </w:t>
      </w:r>
      <w:r w:rsidR="003C03E9">
        <w:t>will</w:t>
      </w:r>
      <w:r w:rsidR="006D2289">
        <w:t xml:space="preserve"> </w:t>
      </w:r>
      <w:r w:rsidR="003C03E9">
        <w:t xml:space="preserve">consist of </w:t>
      </w:r>
      <w:r w:rsidR="002B12C4">
        <w:t xml:space="preserve">a series of forced-choice </w:t>
      </w:r>
      <w:r w:rsidR="003C03E9">
        <w:t>trials</w:t>
      </w:r>
      <w:r w:rsidR="00D95CD3">
        <w:t>, where</w:t>
      </w:r>
      <w:r w:rsidR="003C03E9">
        <w:t xml:space="preserve"> the</w:t>
      </w:r>
      <w:r w:rsidR="00575254">
        <w:t xml:space="preserve"> mixing </w:t>
      </w:r>
      <w:r w:rsidR="006D2289">
        <w:t xml:space="preserve">ratio and reference intensity are adjusted </w:t>
      </w:r>
      <w:r w:rsidR="00D95CD3">
        <w:t xml:space="preserve">based on </w:t>
      </w:r>
      <w:r w:rsidR="002B12C4">
        <w:t>subject responses</w:t>
      </w:r>
      <w:r w:rsidR="00D95CD3">
        <w:t>.</w:t>
      </w:r>
    </w:p>
    <w:p w14:paraId="6254C555" w14:textId="4375AD16" w:rsidR="00D015DD" w:rsidRDefault="009D41D6" w:rsidP="00234AD3">
      <w:pPr>
        <w:spacing w:line="360" w:lineRule="auto"/>
      </w:pPr>
      <w:r>
        <w:t xml:space="preserve">On each trial, the two fields will be shown one after the other for </w:t>
      </w:r>
      <w:r w:rsidR="00CD1BF0">
        <w:t xml:space="preserve">500 </w:t>
      </w:r>
      <w:proofErr w:type="spellStart"/>
      <w:r w:rsidR="00CD1BF0">
        <w:t>m</w:t>
      </w:r>
      <w:r>
        <w:t>s</w:t>
      </w:r>
      <w:proofErr w:type="spellEnd"/>
      <w:r>
        <w:t xml:space="preserve"> each, followed by a </w:t>
      </w:r>
      <w:r w:rsidR="00170A31">
        <w:t xml:space="preserve">neutral field shown for </w:t>
      </w:r>
      <w:r>
        <w:t>1</w:t>
      </w:r>
      <w:r w:rsidR="00CD1BF0">
        <w:t xml:space="preserve"> </w:t>
      </w:r>
      <w:r>
        <w:t xml:space="preserve">s. </w:t>
      </w:r>
      <w:r w:rsidR="00A339EC">
        <w:t xml:space="preserve">This stimulus sequence will repeat until the subject responds. </w:t>
      </w:r>
      <w:r w:rsidR="0090510D">
        <w:t>Subjects will be prompted to make forced-choice judgements of the redness and brightness of the second field relative to the first field (</w:t>
      </w:r>
      <w:proofErr w:type="gramStart"/>
      <w:r w:rsidR="0090510D">
        <w:t>i.e.</w:t>
      </w:r>
      <w:proofErr w:type="gramEnd"/>
      <w:r w:rsidR="0090510D">
        <w:t xml:space="preserve"> “is the second field redder than the first field”), providing both redness and brightness judgements on each trial. </w:t>
      </w:r>
      <w:r>
        <w:t xml:space="preserve">Stimulus presentation will be repeated </w:t>
      </w:r>
      <w:r w:rsidR="0090510D">
        <w:t>in the pattern specified above</w:t>
      </w:r>
      <w:r>
        <w:t xml:space="preserve"> until the subject </w:t>
      </w:r>
      <w:r w:rsidR="00010B25">
        <w:t>responds</w:t>
      </w:r>
      <w:r>
        <w:t xml:space="preserve"> using a button box. </w:t>
      </w:r>
      <w:r w:rsidR="0090510D">
        <w:t>Subject</w:t>
      </w:r>
      <w:r w:rsidR="003C1017">
        <w:t xml:space="preserve"> </w:t>
      </w:r>
      <w:r>
        <w:t>responses</w:t>
      </w:r>
      <w:r w:rsidR="003C1017">
        <w:t xml:space="preserve"> will </w:t>
      </w:r>
      <w:r w:rsidR="0001051F">
        <w:t xml:space="preserve">then </w:t>
      </w:r>
      <w:r w:rsidR="003C1017">
        <w:t xml:space="preserve">be used to adjust the </w:t>
      </w:r>
      <w:r w:rsidR="00E96DB4">
        <w:t>lights for subsequent trials, following a staircase procedure: the redness judgement will be used to adjust the primary ratio, while the brightness judgement will be used to adjust the reference intensity.</w:t>
      </w:r>
      <w:r w:rsidR="004E1417">
        <w:t xml:space="preserve"> Separate staircases will be maintained for </w:t>
      </w:r>
      <w:r w:rsidR="003C1017">
        <w:t xml:space="preserve">the </w:t>
      </w:r>
      <w:r w:rsidR="00152342">
        <w:t>primary</w:t>
      </w:r>
      <w:r w:rsidR="003C1017">
        <w:t xml:space="preserve"> ratio and the reference intensity.</w:t>
      </w:r>
      <w:r w:rsidR="00E96DB4">
        <w:t xml:space="preserve"> </w:t>
      </w:r>
      <w:r w:rsidR="00761C44">
        <w:t xml:space="preserve">The program will record a subject match and terminate automatically once both </w:t>
      </w:r>
      <w:r w:rsidR="00152342">
        <w:t xml:space="preserve">staircases have converged. </w:t>
      </w:r>
      <w:r w:rsidR="00D2205A">
        <w:t xml:space="preserve">In practice, the two fields </w:t>
      </w:r>
      <w:r w:rsidR="00481E4F">
        <w:t xml:space="preserve">should </w:t>
      </w:r>
      <w:r w:rsidR="00D2205A">
        <w:t>appear very similar for the subject</w:t>
      </w:r>
      <w:r w:rsidR="004B4A78">
        <w:t xml:space="preserve"> at the match point</w:t>
      </w:r>
      <w:r w:rsidR="00102B7F">
        <w:t xml:space="preserve">. </w:t>
      </w:r>
    </w:p>
    <w:p w14:paraId="254B1AC0" w14:textId="7D44C039" w:rsidR="00F143B4" w:rsidRDefault="00F57492" w:rsidP="00234AD3">
      <w:pPr>
        <w:spacing w:line="360" w:lineRule="auto"/>
        <w:rPr>
          <w:b/>
          <w:bCs/>
        </w:rPr>
      </w:pPr>
      <w:r>
        <w:t>The experiment will take place in a darkened room, and only the right eye will be tested</w:t>
      </w:r>
      <w:r w:rsidR="00F62B20">
        <w:t xml:space="preserve">. </w:t>
      </w:r>
      <w:r>
        <w:t>Subjects</w:t>
      </w:r>
      <w:r w:rsidR="00805F22">
        <w:t xml:space="preserve"> will view the stimuli through </w:t>
      </w:r>
      <w:r w:rsidR="00766970">
        <w:t xml:space="preserve">the </w:t>
      </w:r>
      <w:proofErr w:type="spellStart"/>
      <w:r w:rsidR="002C6C43">
        <w:t>OneLight</w:t>
      </w:r>
      <w:proofErr w:type="spellEnd"/>
      <w:r w:rsidR="00766970">
        <w:t xml:space="preserve"> </w:t>
      </w:r>
      <w:r w:rsidR="002C6C43">
        <w:t>P</w:t>
      </w:r>
      <w:r w:rsidR="00766970">
        <w:t xml:space="preserve">sychophysics </w:t>
      </w:r>
      <w:r w:rsidR="00805F22">
        <w:t>large-field reticle</w:t>
      </w:r>
      <w:r w:rsidR="002C6C43">
        <w:t xml:space="preserve">. Prior to testing, they will remove corrective lenses and </w:t>
      </w:r>
      <w:r w:rsidR="002C6C43">
        <w:rPr>
          <w:rFonts w:ascii="Calibri" w:hAnsi="Calibri" w:cs="Calibri"/>
        </w:rPr>
        <w:t xml:space="preserve">adjust the device eyepiece to bring the reticle into as good focus as possible. </w:t>
      </w:r>
    </w:p>
    <w:p w14:paraId="41E258A3" w14:textId="3F569ADC" w:rsidR="00743ECF" w:rsidRDefault="00B8666A" w:rsidP="00234AD3">
      <w:pPr>
        <w:spacing w:line="360" w:lineRule="auto"/>
        <w:rPr>
          <w:i/>
          <w:iCs/>
        </w:rPr>
      </w:pPr>
      <w:r>
        <w:rPr>
          <w:i/>
          <w:iCs/>
        </w:rPr>
        <w:t>S</w:t>
      </w:r>
      <w:r w:rsidR="00A801B2">
        <w:rPr>
          <w:i/>
          <w:iCs/>
        </w:rPr>
        <w:t>timuli</w:t>
      </w:r>
    </w:p>
    <w:p w14:paraId="5EDBEF73" w14:textId="4297F019" w:rsidR="00182B1D" w:rsidRDefault="00743ECF" w:rsidP="00234AD3">
      <w:pPr>
        <w:spacing w:line="360" w:lineRule="auto"/>
      </w:pPr>
      <w:r>
        <w:t xml:space="preserve">All stimuli will be presented using the </w:t>
      </w:r>
      <w:proofErr w:type="spellStart"/>
      <w:r>
        <w:t>OneLight</w:t>
      </w:r>
      <w:proofErr w:type="spellEnd"/>
      <w:r>
        <w:t xml:space="preserve"> Spectra digital light synthesis engine, which generates narrowband </w:t>
      </w:r>
      <w:r w:rsidR="00106E81">
        <w:t>spectra</w:t>
      </w:r>
      <w:r>
        <w:t xml:space="preserve"> with width of approximately ~15-20nm FWHM around a specified center wavelength. </w:t>
      </w:r>
      <w:r w:rsidR="00D462D1">
        <w:t xml:space="preserve">The primary mixture </w:t>
      </w:r>
      <w:r w:rsidR="00074A35">
        <w:t>will be</w:t>
      </w:r>
      <w:r w:rsidR="00314B2A">
        <w:t xml:space="preserve"> an additive mixture of </w:t>
      </w:r>
      <w:r w:rsidR="00292EB3">
        <w:t xml:space="preserve">spectra </w:t>
      </w:r>
      <w:r w:rsidR="00A339EC">
        <w:t xml:space="preserve">of primaries </w:t>
      </w:r>
      <w:r w:rsidR="00292EB3">
        <w:t xml:space="preserve">at </w:t>
      </w:r>
      <w:r w:rsidR="00074A35">
        <w:t xml:space="preserve">670 nm </w:t>
      </w:r>
      <w:r w:rsidR="00292EB3">
        <w:t>and</w:t>
      </w:r>
      <w:r w:rsidR="00074A35">
        <w:t xml:space="preserve"> 560 nm</w:t>
      </w:r>
      <w:r>
        <w:t xml:space="preserve"> center wavelength</w:t>
      </w:r>
      <w:r w:rsidR="00074A35">
        <w:t>. The reference light</w:t>
      </w:r>
      <w:r w:rsidR="006773C8">
        <w:t>’s center wavelength will var</w:t>
      </w:r>
      <w:r w:rsidR="00D714C2">
        <w:t>y throughout the different Rayleigh matches in the experimental session. E</w:t>
      </w:r>
      <w:r w:rsidR="003E0C90">
        <w:t xml:space="preserve">ach subject will complete </w:t>
      </w:r>
      <w:r w:rsidR="00043BD1">
        <w:t>Rayleigh matches</w:t>
      </w:r>
      <w:r w:rsidR="00D714C2">
        <w:t xml:space="preserve"> </w:t>
      </w:r>
      <w:r w:rsidR="003E0C90">
        <w:t xml:space="preserve">with the reference wavelength centered at </w:t>
      </w:r>
      <w:r w:rsidR="004F627B" w:rsidRPr="004F627B">
        <w:t xml:space="preserve">570 </w:t>
      </w:r>
      <w:r w:rsidR="004F627B">
        <w:t>nm,</w:t>
      </w:r>
      <w:r w:rsidR="004F627B" w:rsidRPr="004F627B">
        <w:t xml:space="preserve"> 584 </w:t>
      </w:r>
      <w:r w:rsidR="004F627B">
        <w:t>nm,</w:t>
      </w:r>
      <w:r w:rsidR="004F627B" w:rsidRPr="004F627B">
        <w:t xml:space="preserve"> 598 </w:t>
      </w:r>
      <w:r w:rsidR="004F627B">
        <w:t>nm,</w:t>
      </w:r>
      <w:r w:rsidR="004F627B" w:rsidRPr="004F627B">
        <w:t xml:space="preserve"> 612 </w:t>
      </w:r>
      <w:r w:rsidR="004F627B">
        <w:t>nm,</w:t>
      </w:r>
      <w:r w:rsidR="004F627B" w:rsidRPr="004F627B">
        <w:t xml:space="preserve"> 626 </w:t>
      </w:r>
      <w:r w:rsidR="004F627B">
        <w:t>nm,</w:t>
      </w:r>
      <w:r w:rsidR="004F627B" w:rsidRPr="004F627B">
        <w:t xml:space="preserve"> </w:t>
      </w:r>
      <w:r w:rsidR="004F627B">
        <w:t>and</w:t>
      </w:r>
      <w:r w:rsidR="004F627B" w:rsidRPr="004F627B">
        <w:t xml:space="preserve"> 640</w:t>
      </w:r>
      <w:r w:rsidR="004F627B">
        <w:t xml:space="preserve"> nm</w:t>
      </w:r>
      <w:r w:rsidR="000847A5">
        <w:t>.</w:t>
      </w:r>
    </w:p>
    <w:p w14:paraId="139DE432" w14:textId="0610694E" w:rsidR="003D1CC5" w:rsidRDefault="00F9523E" w:rsidP="00BE2477">
      <w:pPr>
        <w:spacing w:line="360" w:lineRule="auto"/>
      </w:pPr>
      <w:r>
        <w:lastRenderedPageBreak/>
        <w:t xml:space="preserve">The </w:t>
      </w:r>
      <w:r w:rsidR="00EB490F">
        <w:t xml:space="preserve">relative intensities of the </w:t>
      </w:r>
      <w:r w:rsidR="003A0B2F">
        <w:t>primaries</w:t>
      </w:r>
      <w:r w:rsidR="00EB490F">
        <w:t xml:space="preserve"> at their maximum settings will be </w:t>
      </w:r>
      <w:r w:rsidR="001C5EA8">
        <w:t xml:space="preserve">adjusted so that the matches of </w:t>
      </w:r>
      <w:r w:rsidR="00094A55">
        <w:t xml:space="preserve">observers with normal color vision are not set at </w:t>
      </w:r>
      <w:r w:rsidR="00043BD1">
        <w:t xml:space="preserve">the limits of </w:t>
      </w:r>
      <w:r w:rsidR="00296A4E">
        <w:t>avai</w:t>
      </w:r>
      <w:r w:rsidR="00B237EC">
        <w:t>l</w:t>
      </w:r>
      <w:r w:rsidR="00296A4E">
        <w:t>able</w:t>
      </w:r>
      <w:r w:rsidR="00043BD1">
        <w:t xml:space="preserve"> settings</w:t>
      </w:r>
      <w:r w:rsidR="000C0280">
        <w:t xml:space="preserve">. Based on pilot experiments and simulations, we have chosen </w:t>
      </w:r>
      <w:r w:rsidR="00BF6423">
        <w:t>different scale factors for matches at different reference wavelengths</w:t>
      </w:r>
      <w:r w:rsidR="000C0280">
        <w:t xml:space="preserve">. </w:t>
      </w:r>
      <w:r w:rsidR="00A339EC">
        <w:t xml:space="preserve">The 670 nm primary will be used at its maximum intensity. </w:t>
      </w:r>
      <w:r w:rsidR="003D1CC5">
        <w:t xml:space="preserve">The 560 nm primary in the primary mixture will be scaled to 0.02 * the maximum height that the </w:t>
      </w:r>
      <w:proofErr w:type="spellStart"/>
      <w:r w:rsidR="003D1CC5">
        <w:t>OneLight</w:t>
      </w:r>
      <w:proofErr w:type="spellEnd"/>
      <w:r w:rsidR="003D1CC5">
        <w:t xml:space="preserve"> can produce for reference wavelengths shorter than 620 nm, and to 0.004* the maximum height for reference wavelengths longer than 620 nm. The reference wavelength will be scaled to 0.01 * the maximum height the </w:t>
      </w:r>
      <w:proofErr w:type="spellStart"/>
      <w:r w:rsidR="003D1CC5">
        <w:t>OneLight</w:t>
      </w:r>
      <w:proofErr w:type="spellEnd"/>
      <w:r w:rsidR="003D1CC5">
        <w:t xml:space="preserve"> can produce for reference wavelengths shorter than 630 nm, and to </w:t>
      </w:r>
      <w:r w:rsidR="00A972AB">
        <w:t>0.25 * its maximum height for reference wavelengths longer than 630 nm.</w:t>
      </w:r>
    </w:p>
    <w:p w14:paraId="37CCA9B5" w14:textId="056E2060" w:rsidR="00D27D5E" w:rsidRPr="00D27D5E" w:rsidRDefault="00D27D5E" w:rsidP="00234AD3">
      <w:pPr>
        <w:spacing w:line="360" w:lineRule="auto"/>
      </w:pPr>
      <w:r>
        <w:t xml:space="preserve">The neutral field will be generated </w:t>
      </w:r>
      <w:r w:rsidR="00D76F9D">
        <w:t xml:space="preserve">from a spectral power distribution with a uniform </w:t>
      </w:r>
      <w:r w:rsidR="00296A4E">
        <w:t>amplitude</w:t>
      </w:r>
      <w:r w:rsidR="00D76F9D">
        <w:t xml:space="preserve"> of </w:t>
      </w:r>
      <w:r w:rsidR="00D872DA">
        <w:t xml:space="preserve">0.001 across all wavelengths </w:t>
      </w:r>
      <w:r w:rsidR="00296A4E">
        <w:t>tested</w:t>
      </w:r>
      <w:r w:rsidR="00D872DA">
        <w:t xml:space="preserve">. </w:t>
      </w:r>
    </w:p>
    <w:p w14:paraId="15A84B61" w14:textId="2A6C4D06" w:rsidR="005E7C55" w:rsidRDefault="003E0C90" w:rsidP="00234AD3">
      <w:pPr>
        <w:spacing w:line="360" w:lineRule="auto"/>
        <w:rPr>
          <w:i/>
          <w:iCs/>
        </w:rPr>
      </w:pPr>
      <w:r>
        <w:rPr>
          <w:i/>
          <w:iCs/>
        </w:rPr>
        <w:t>Staircase Parameters</w:t>
      </w:r>
    </w:p>
    <w:p w14:paraId="21BC540F" w14:textId="4F60FE8D" w:rsidR="005E7C55" w:rsidRDefault="00586028" w:rsidP="00234AD3">
      <w:pPr>
        <w:spacing w:line="360" w:lineRule="auto"/>
      </w:pPr>
      <w:r>
        <w:t>M</w:t>
      </w:r>
      <w:r w:rsidR="005E7C55">
        <w:t xml:space="preserve">ixing ratio and reference intensity will be adjusted using separate staircase procedures, and a Rayleigh match will be recorded once both staircases have converged. </w:t>
      </w:r>
    </w:p>
    <w:p w14:paraId="6F335635" w14:textId="1EBF2C5D" w:rsidR="005E7C55" w:rsidRDefault="005E7C55" w:rsidP="00234AD3">
      <w:pPr>
        <w:spacing w:line="360" w:lineRule="auto"/>
      </w:pPr>
      <w:r>
        <w:t>201</w:t>
      </w:r>
      <w:r w:rsidR="001B06EE">
        <w:t xml:space="preserve"> </w:t>
      </w:r>
      <w:r w:rsidR="00FF2EB5">
        <w:t>settings will be available</w:t>
      </w:r>
      <w:r w:rsidR="00F57755">
        <w:t xml:space="preserve"> for both reference intensity and </w:t>
      </w:r>
      <w:r w:rsidR="00586028">
        <w:t>m</w:t>
      </w:r>
      <w:r w:rsidR="00F57755">
        <w:t xml:space="preserve">ixing ratio, evenly spaced between 0 and </w:t>
      </w:r>
      <w:proofErr w:type="gramStart"/>
      <w:r w:rsidR="00F57755">
        <w:t>1</w:t>
      </w:r>
      <w:r w:rsidR="0014596A">
        <w:t>, once</w:t>
      </w:r>
      <w:proofErr w:type="gramEnd"/>
      <w:r w:rsidR="0014596A">
        <w:t xml:space="preserve"> the effective maximum for each primary has been determined as above. The actual number of device steps may not be 201 for some cases. </w:t>
      </w:r>
      <w:r w:rsidR="00C52E4E">
        <w:t xml:space="preserve">The reference intensity </w:t>
      </w:r>
      <w:r w:rsidR="00AC72B9">
        <w:t xml:space="preserve">setting will be applied as a multiplicative scale factor to </w:t>
      </w:r>
      <w:r w:rsidR="00E74B40">
        <w:t xml:space="preserve">reduce the amplitude of the reference light from its maximal value. The mixing </w:t>
      </w:r>
      <w:r w:rsidR="00021456">
        <w:t xml:space="preserve">ratio setting will be applied as a multiplicative scale factor to </w:t>
      </w:r>
      <w:r w:rsidR="00EC5A09">
        <w:t xml:space="preserve">the amplitude of the 670 nm </w:t>
      </w:r>
      <w:r w:rsidR="00586028">
        <w:t>peak</w:t>
      </w:r>
      <w:r w:rsidR="00EC5A09">
        <w:t xml:space="preserve">, while the </w:t>
      </w:r>
      <w:r w:rsidR="00586028">
        <w:t>560 nm peak will be scaled by 1 – the mixing ratio setting.</w:t>
      </w:r>
      <w:r w:rsidR="001B06EE">
        <w:t xml:space="preserve"> </w:t>
      </w:r>
      <w:r w:rsidR="00586028">
        <w:t>Thus, a</w:t>
      </w:r>
      <w:r w:rsidR="001B06EE">
        <w:t xml:space="preserve"> setting of </w:t>
      </w:r>
      <w:r w:rsidR="00021456">
        <w:t>0</w:t>
      </w:r>
      <w:r w:rsidR="001B06EE">
        <w:t xml:space="preserve"> </w:t>
      </w:r>
      <w:r w:rsidR="00CF5F8C">
        <w:t xml:space="preserve">will represent the greenest possible light, while a setting of 1 will represent the reddest possible light. </w:t>
      </w:r>
    </w:p>
    <w:p w14:paraId="5963C842" w14:textId="751E07A4" w:rsidR="00E86C3C" w:rsidRDefault="00A968E3" w:rsidP="00234AD3">
      <w:pPr>
        <w:spacing w:line="360" w:lineRule="auto"/>
      </w:pPr>
      <w:r>
        <w:t xml:space="preserve">At the start of a given Rayleigh match, the </w:t>
      </w:r>
      <w:r w:rsidR="00FA6FA5">
        <w:t xml:space="preserve">mixing ratio and reference intensity will be set to random values. </w:t>
      </w:r>
      <w:r w:rsidR="002F5BD7">
        <w:t xml:space="preserve">They will then be modified based on subject responses to bring the two fields into agreement. For example, if a </w:t>
      </w:r>
      <w:proofErr w:type="gramStart"/>
      <w:r w:rsidR="002F5BD7">
        <w:t>subject responds</w:t>
      </w:r>
      <w:proofErr w:type="gramEnd"/>
      <w:r w:rsidR="002F5BD7">
        <w:t xml:space="preserve"> that the </w:t>
      </w:r>
      <w:r w:rsidR="00E3447D">
        <w:t xml:space="preserve">(second) reference field is brighter than the primary mixture field, the reference intensity will be reduced. If </w:t>
      </w:r>
      <w:r w:rsidR="00A40DB2">
        <w:t xml:space="preserve">a </w:t>
      </w:r>
      <w:proofErr w:type="gramStart"/>
      <w:r w:rsidR="00A40DB2">
        <w:t>subject responds</w:t>
      </w:r>
      <w:proofErr w:type="gramEnd"/>
      <w:r w:rsidR="00A40DB2">
        <w:t xml:space="preserve"> that the reference field is redder than the primary mixture field, the primary ratio will be increased. </w:t>
      </w:r>
      <w:r w:rsidR="00CA446E">
        <w:t>The exact magnitude of the increase or decrease will depend on the step size at that point in the experiment. Four step sizes will be available</w:t>
      </w:r>
      <w:r w:rsidR="00B25D21">
        <w:t>, representing changes of</w:t>
      </w:r>
      <w:r w:rsidR="00CA446E">
        <w:t xml:space="preserve"> </w:t>
      </w:r>
      <w:r w:rsidR="00696C6F">
        <w:t xml:space="preserve">40, </w:t>
      </w:r>
      <w:r w:rsidR="00B25D21">
        <w:t>1</w:t>
      </w:r>
      <w:r w:rsidR="00696C6F">
        <w:t>0, 2</w:t>
      </w:r>
      <w:r w:rsidR="00B25D21">
        <w:t xml:space="preserve">, and 1 </w:t>
      </w:r>
      <w:proofErr w:type="gramStart"/>
      <w:r w:rsidR="00A24650">
        <w:t>positions</w:t>
      </w:r>
      <w:proofErr w:type="gramEnd"/>
      <w:r w:rsidR="00B25D21">
        <w:t xml:space="preserve"> in the settings array. </w:t>
      </w:r>
      <w:r w:rsidR="00960188">
        <w:t>At the start of a given Rayleigh match,</w:t>
      </w:r>
      <w:r w:rsidR="00BA01ED">
        <w:t xml:space="preserve"> the largest step size will be used</w:t>
      </w:r>
      <w:r w:rsidR="00342E69">
        <w:t>. T</w:t>
      </w:r>
      <w:r w:rsidR="00674EFC">
        <w:t xml:space="preserve">he step size will be reduced on the first trial </w:t>
      </w:r>
      <w:r w:rsidR="00E86C3C">
        <w:t>where</w:t>
      </w:r>
      <w:r w:rsidR="00674EFC">
        <w:t xml:space="preserve"> both the </w:t>
      </w:r>
      <w:r w:rsidR="00E86C3C">
        <w:lastRenderedPageBreak/>
        <w:t xml:space="preserve">redness brightness </w:t>
      </w:r>
      <w:r w:rsidR="00E70EA3">
        <w:t xml:space="preserve">staircases have reversed once, </w:t>
      </w:r>
      <w:r w:rsidR="00342E69">
        <w:t>continuing in this manner until the smallest step size is reached</w:t>
      </w:r>
      <w:r w:rsidR="00E86C3C">
        <w:t xml:space="preserve">. </w:t>
      </w:r>
    </w:p>
    <w:p w14:paraId="6AFAD7FE" w14:textId="7DAB7618" w:rsidR="005E7C55" w:rsidRPr="00E8325E" w:rsidRDefault="00523B28" w:rsidP="00234AD3">
      <w:pPr>
        <w:spacing w:line="360" w:lineRule="auto"/>
        <w:rPr>
          <w:b/>
          <w:bCs/>
        </w:rPr>
      </w:pPr>
      <w:r>
        <w:t>The</w:t>
      </w:r>
      <w:r w:rsidR="00640971">
        <w:t xml:space="preserve"> </w:t>
      </w:r>
      <w:r w:rsidR="007B1B9E">
        <w:t xml:space="preserve">program </w:t>
      </w:r>
      <w:r w:rsidR="00BE58EF">
        <w:t>will record a Rayleigh match once</w:t>
      </w:r>
      <w:r>
        <w:t xml:space="preserve"> both staircases have undergone </w:t>
      </w:r>
      <w:r w:rsidR="00BD44F8">
        <w:t xml:space="preserve">two reversals at the smallest step size. </w:t>
      </w:r>
      <w:r w:rsidR="00C64692">
        <w:t xml:space="preserve">The match will be represented as the average of the last two </w:t>
      </w:r>
      <w:r w:rsidR="00056D72">
        <w:t xml:space="preserve">reversals for each staircase. </w:t>
      </w:r>
    </w:p>
    <w:p w14:paraId="20D54D12" w14:textId="35DE6264" w:rsidR="008B20D6" w:rsidRDefault="008B20D6" w:rsidP="00234AD3">
      <w:pPr>
        <w:spacing w:line="360" w:lineRule="auto"/>
        <w:rPr>
          <w:i/>
          <w:iCs/>
        </w:rPr>
      </w:pPr>
      <w:r>
        <w:rPr>
          <w:i/>
          <w:iCs/>
        </w:rPr>
        <w:t>Post-</w:t>
      </w:r>
      <w:r w:rsidR="00FA653C">
        <w:rPr>
          <w:i/>
          <w:iCs/>
        </w:rPr>
        <w:t xml:space="preserve">session </w:t>
      </w:r>
      <w:r>
        <w:rPr>
          <w:i/>
          <w:iCs/>
        </w:rPr>
        <w:t xml:space="preserve">Calibration </w:t>
      </w:r>
    </w:p>
    <w:p w14:paraId="72662E21" w14:textId="28FC6E16" w:rsidR="00234AD3" w:rsidRPr="005107B0" w:rsidRDefault="00BF6423" w:rsidP="00295C3C">
      <w:pPr>
        <w:spacing w:line="360" w:lineRule="auto"/>
      </w:pPr>
      <w:r>
        <w:t>At the end of every session</w:t>
      </w:r>
      <w:r w:rsidR="00FC514D">
        <w:t xml:space="preserve">, </w:t>
      </w:r>
      <w:r w:rsidR="00E8325E">
        <w:t xml:space="preserve">we will </w:t>
      </w:r>
      <w:r w:rsidR="00C67FCE">
        <w:t>display</w:t>
      </w:r>
      <w:r w:rsidR="00E8325E">
        <w:t xml:space="preserve"> the lights that subjects identified as matches and measure their spectral properties</w:t>
      </w:r>
      <w:r w:rsidR="00FC514D">
        <w:t xml:space="preserve">. </w:t>
      </w:r>
      <w:r w:rsidR="00C64692">
        <w:t xml:space="preserve">For each match, we will </w:t>
      </w:r>
      <w:r w:rsidR="00836B92">
        <w:t>display the lights corresponding to the last two mixing ratio settings</w:t>
      </w:r>
      <w:r w:rsidR="00CF13A7">
        <w:t xml:space="preserve"> on the </w:t>
      </w:r>
      <w:proofErr w:type="spellStart"/>
      <w:r w:rsidR="00CF13A7">
        <w:t>OneLight</w:t>
      </w:r>
      <w:proofErr w:type="spellEnd"/>
      <w:r w:rsidR="00417EAA">
        <w:t xml:space="preserve">, measure them using a PR670 spectroradiometer, and average the two spectral power distributions. We will repeat this procedure for the </w:t>
      </w:r>
      <w:r w:rsidR="00CF13A7">
        <w:t>lights corresponding to the last two reference intensity settings.</w:t>
      </w:r>
      <w:r w:rsidR="00E8325E">
        <w:t xml:space="preserve"> We will also measure t</w:t>
      </w:r>
      <w:r w:rsidR="00FC514D">
        <w:t xml:space="preserve">he neutral light and the dark </w:t>
      </w:r>
      <w:proofErr w:type="spellStart"/>
      <w:r w:rsidR="00FC514D">
        <w:t>spd</w:t>
      </w:r>
      <w:proofErr w:type="spellEnd"/>
      <w:r w:rsidR="00FC514D">
        <w:t xml:space="preserve"> </w:t>
      </w:r>
      <w:r w:rsidR="00E8325E">
        <w:t xml:space="preserve">one time for each session. </w:t>
      </w:r>
      <w:r w:rsidR="00FC514D">
        <w:t xml:space="preserve"> </w:t>
      </w:r>
    </w:p>
    <w:p w14:paraId="310E110E" w14:textId="6FFBEE2E" w:rsidR="00F143B4" w:rsidRPr="00754637" w:rsidRDefault="00F143B4" w:rsidP="00234AD3">
      <w:pPr>
        <w:spacing w:line="360" w:lineRule="auto"/>
        <w:rPr>
          <w:b/>
          <w:bCs/>
        </w:rPr>
      </w:pPr>
      <w:r w:rsidRPr="00754637">
        <w:rPr>
          <w:b/>
          <w:bCs/>
        </w:rPr>
        <w:t>Data Analysis</w:t>
      </w:r>
    </w:p>
    <w:p w14:paraId="17BA41D5" w14:textId="06F3BD2A" w:rsidR="00B42373" w:rsidRDefault="00BB5DE6" w:rsidP="00234AD3">
      <w:pPr>
        <w:spacing w:line="360" w:lineRule="auto"/>
        <w:rPr>
          <w:i/>
          <w:iCs/>
        </w:rPr>
      </w:pPr>
      <w:r>
        <w:rPr>
          <w:i/>
          <w:iCs/>
        </w:rPr>
        <w:t>Summary Statistics</w:t>
      </w:r>
    </w:p>
    <w:p w14:paraId="48D9AF1F" w14:textId="75EB1246" w:rsidR="00B87756" w:rsidRDefault="003A2195" w:rsidP="00BE2477">
      <w:pPr>
        <w:spacing w:line="360" w:lineRule="auto"/>
      </w:pPr>
      <w:r>
        <w:t xml:space="preserve">To assist in data representation, each </w:t>
      </w:r>
      <w:r w:rsidR="00602BCD">
        <w:t xml:space="preserve">pair of </w:t>
      </w:r>
      <w:r w:rsidR="009C6D80">
        <w:t xml:space="preserve">radiometer-measured </w:t>
      </w:r>
      <w:r w:rsidR="00602BCD">
        <w:t>spectra identified as a match</w:t>
      </w:r>
      <w:r w:rsidR="002D52EE">
        <w:t xml:space="preserve"> will be converted to a </w:t>
      </w:r>
      <w:r w:rsidR="00602BCD">
        <w:t>mixing</w:t>
      </w:r>
      <w:r w:rsidR="009C6D80">
        <w:t xml:space="preserve"> ratio/reference intensity </w:t>
      </w:r>
      <w:r w:rsidR="002D52EE">
        <w:t>point representation</w:t>
      </w:r>
      <w:r w:rsidR="009C6D80">
        <w:t xml:space="preserve">. </w:t>
      </w:r>
      <w:r w:rsidR="00BE2477">
        <w:t xml:space="preserve">The point representations will be computed using a regression procedure to find the scale factors which, when applied to the predicted spectra at their maximal intensity, will come as close as possible to the measured spectra. </w:t>
      </w:r>
      <w:r w:rsidR="009C6D80">
        <w:t>The</w:t>
      </w:r>
      <w:r w:rsidR="00405B35">
        <w:t xml:space="preserve"> point representations of matches will be used for </w:t>
      </w:r>
      <w:r w:rsidR="00BE2477">
        <w:t xml:space="preserve">qualitative </w:t>
      </w:r>
      <w:r w:rsidR="00405B35">
        <w:t xml:space="preserve">data analysis and data visualization. </w:t>
      </w:r>
      <w:r w:rsidR="00602BCD">
        <w:t xml:space="preserve">For each subject, we will calculate the mean and standard error of mixing ratio and reference intensity </w:t>
      </w:r>
      <w:r w:rsidR="00405B35">
        <w:t>at the match, using the point representations of subjects’ measured matches.</w:t>
      </w:r>
    </w:p>
    <w:p w14:paraId="1A371E94" w14:textId="735CB271" w:rsidR="00602BCD" w:rsidRDefault="00B87756" w:rsidP="00234AD3">
      <w:pPr>
        <w:spacing w:line="360" w:lineRule="auto"/>
      </w:pPr>
      <w:r>
        <w:t xml:space="preserve">We will </w:t>
      </w:r>
      <w:r w:rsidR="00BE2477">
        <w:t xml:space="preserve">also </w:t>
      </w:r>
      <w:r>
        <w:t>compare subjects’ matches to the nominal match for a standard observer. Th</w:t>
      </w:r>
      <w:r w:rsidR="003135AF">
        <w:t>e nominal match</w:t>
      </w:r>
      <w:r>
        <w:t xml:space="preserve"> will be found by simulating an observer with standard cone fundamentals and searching among </w:t>
      </w:r>
      <w:r w:rsidR="003135AF">
        <w:t xml:space="preserve">all possible reference and primary mixture spectra (predicted) to find the </w:t>
      </w:r>
      <w:r w:rsidR="009C2195">
        <w:t xml:space="preserve">pair that minimizes </w:t>
      </w:r>
      <w:r w:rsidR="00B8481E">
        <w:t xml:space="preserve">L and M cone </w:t>
      </w:r>
      <w:r w:rsidR="009C2195">
        <w:t>opponent contrast</w:t>
      </w:r>
      <w:r w:rsidR="00B8481E">
        <w:t xml:space="preserve"> (see below for details of this procedure)</w:t>
      </w:r>
      <w:r w:rsidR="009C2195">
        <w:t xml:space="preserve">. Since both observers are believed to have normal color vision, we expected </w:t>
      </w:r>
      <w:r w:rsidR="00B8481E">
        <w:t>both subjects’</w:t>
      </w:r>
      <w:r w:rsidR="009C2195">
        <w:t xml:space="preserve"> matches to fall reasonably close to the nominal match and to </w:t>
      </w:r>
      <w:r w:rsidR="00B8481E">
        <w:t>each other’s</w:t>
      </w:r>
      <w:r w:rsidR="009C2195">
        <w:t xml:space="preserve"> matches. </w:t>
      </w:r>
      <w:r w:rsidR="00602BCD">
        <w:t xml:space="preserve"> </w:t>
      </w:r>
    </w:p>
    <w:p w14:paraId="46367FB4" w14:textId="77777777" w:rsidR="00BE2477" w:rsidRPr="003A2195" w:rsidRDefault="00BE2477" w:rsidP="00234AD3">
      <w:pPr>
        <w:spacing w:line="360" w:lineRule="auto"/>
      </w:pPr>
    </w:p>
    <w:p w14:paraId="74B728A3" w14:textId="1EDDCB1D" w:rsidR="00BB5DE6" w:rsidRPr="00BB5DE6" w:rsidRDefault="00BB5DE6" w:rsidP="00234AD3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Cone Fundame</w:t>
      </w:r>
      <w:r w:rsidR="00B87756">
        <w:rPr>
          <w:i/>
          <w:iCs/>
        </w:rPr>
        <w:t>n</w:t>
      </w:r>
      <w:r>
        <w:rPr>
          <w:i/>
          <w:iCs/>
        </w:rPr>
        <w:t>tal Fitting</w:t>
      </w:r>
    </w:p>
    <w:p w14:paraId="1F3C90EB" w14:textId="2B8A808B" w:rsidR="00D91B5F" w:rsidRDefault="00C569E7" w:rsidP="00234AD3">
      <w:pPr>
        <w:spacing w:line="360" w:lineRule="auto"/>
      </w:pPr>
      <w:r>
        <w:t xml:space="preserve">We will also fit the Asano et al. model </w:t>
      </w:r>
      <w:r w:rsidR="00EB2B01">
        <w:t xml:space="preserve">of cone individual differences </w:t>
      </w:r>
      <w:r>
        <w:t>to each subject’s match data to obtain estimated L and M cone fundamentals</w:t>
      </w:r>
      <w:r w:rsidR="00EB2B01">
        <w:t xml:space="preserve">. </w:t>
      </w:r>
      <w:r w:rsidR="00CB7DE7">
        <w:t>Th</w:t>
      </w:r>
      <w:r w:rsidR="00EB2B01">
        <w:t>e Asano et al.</w:t>
      </w:r>
      <w:r w:rsidR="00CB7DE7">
        <w:t xml:space="preserve"> </w:t>
      </w:r>
      <w:r w:rsidR="008C11C2">
        <w:t xml:space="preserve">model </w:t>
      </w:r>
      <w:r w:rsidR="001D531F">
        <w:t>accounts for how</w:t>
      </w:r>
      <w:r w:rsidR="00CB7DE7">
        <w:t xml:space="preserve"> </w:t>
      </w:r>
      <w:r w:rsidR="008C11C2">
        <w:t xml:space="preserve">cone fundamentals </w:t>
      </w:r>
      <w:r w:rsidR="001D531F">
        <w:t>are affected by eight individual parameters</w:t>
      </w:r>
      <w:r w:rsidR="00C30AE6">
        <w:t xml:space="preserve"> (in addition to age and field size)</w:t>
      </w:r>
      <w:r w:rsidR="001D531F">
        <w:t xml:space="preserve">: lens density, macular pigment density, and lambda max and optical density for L, M, and S cones.  </w:t>
      </w:r>
      <w:r w:rsidR="00CE1068">
        <w:t>In our fit, we will restrict lens density and macular pigment density to their average values</w:t>
      </w:r>
      <w:r w:rsidR="00824EBF">
        <w:t xml:space="preserve">, as lens pigment and macular pigment are believed to have </w:t>
      </w:r>
      <w:r w:rsidR="00F0314D">
        <w:t xml:space="preserve">minimal effect on light reaching the photoreceptor at longer wavelengths. </w:t>
      </w:r>
      <w:r w:rsidR="00CE1068">
        <w:t xml:space="preserve">We will also restrict </w:t>
      </w:r>
      <w:r w:rsidR="00CB7DE7">
        <w:t xml:space="preserve">L and M </w:t>
      </w:r>
      <w:r w:rsidR="003C550C">
        <w:t xml:space="preserve">lambda max and optical density estimates to within 3 standard deviations of their means, </w:t>
      </w:r>
      <w:r w:rsidR="00CE2B80">
        <w:t>using Asano et al.</w:t>
      </w:r>
      <w:r w:rsidR="00D91B5F">
        <w:t xml:space="preserve">’s estimates of population-level variability. </w:t>
      </w:r>
      <w:r w:rsidR="0012379A">
        <w:t xml:space="preserve">When computing cone fundamentals, we will also include the actual subject age and </w:t>
      </w:r>
      <w:r w:rsidR="00FA653C">
        <w:t>a large (10 degree) field size to match the large field</w:t>
      </w:r>
      <w:r w:rsidR="0012379A">
        <w:t>.</w:t>
      </w:r>
    </w:p>
    <w:p w14:paraId="158BD252" w14:textId="7B722677" w:rsidR="008D750A" w:rsidRDefault="00862F9F" w:rsidP="00234AD3">
      <w:pPr>
        <w:spacing w:line="360" w:lineRule="auto"/>
      </w:pPr>
      <w:r>
        <w:t xml:space="preserve">For each reference wavelength used, we will average the </w:t>
      </w:r>
      <w:r w:rsidR="007F5EA6">
        <w:t xml:space="preserve">radiometer-measured primary mixture and reference </w:t>
      </w:r>
      <w:r w:rsidR="00F31F18">
        <w:t>spectra</w:t>
      </w:r>
      <w:r w:rsidR="007F5EA6">
        <w:t xml:space="preserve"> for all subject matches</w:t>
      </w:r>
      <w:r w:rsidR="004430D6">
        <w:t xml:space="preserve"> at that reference wavelength</w:t>
      </w:r>
      <w:r w:rsidR="00894D23">
        <w:t xml:space="preserve">. Thus, we will </w:t>
      </w:r>
      <w:r w:rsidR="00A32166">
        <w:t>obtain a single spectral pair for each reference wavelength tested</w:t>
      </w:r>
      <w:r w:rsidR="004430D6">
        <w:t xml:space="preserve">. These averaged </w:t>
      </w:r>
      <w:r w:rsidR="00EA6FB8">
        <w:t>spectra</w:t>
      </w:r>
      <w:r w:rsidR="004430D6">
        <w:t xml:space="preserve"> will be passed into the </w:t>
      </w:r>
      <w:r w:rsidR="00F31F18">
        <w:t xml:space="preserve">fitting program, which will fit cone fundamentals </w:t>
      </w:r>
      <w:r w:rsidR="00C752E7">
        <w:t>to minimize the opponent contrast of each match pair.</w:t>
      </w:r>
    </w:p>
    <w:p w14:paraId="1D366FF6" w14:textId="6DC40F4C" w:rsidR="00BE4EE1" w:rsidRDefault="008D750A" w:rsidP="00234AD3">
      <w:pPr>
        <w:spacing w:line="360" w:lineRule="auto"/>
      </w:pPr>
      <w:r>
        <w:t>The fitting program</w:t>
      </w:r>
      <w:r w:rsidR="00EA6FB8">
        <w:t xml:space="preserve"> will first </w:t>
      </w:r>
      <w:r w:rsidR="005300A5">
        <w:t>compute cone excitations for</w:t>
      </w:r>
      <w:r w:rsidR="00EA6FB8">
        <w:t xml:space="preserve"> each </w:t>
      </w:r>
      <w:r w:rsidR="00BD1789">
        <w:t xml:space="preserve">pair of spectra </w:t>
      </w:r>
      <w:r w:rsidR="005300A5">
        <w:t xml:space="preserve">and convert these </w:t>
      </w:r>
      <w:r w:rsidR="00BD1789">
        <w:t xml:space="preserve">to an opponent contrast representation, using the </w:t>
      </w:r>
      <w:r w:rsidR="00BE4EE1">
        <w:t xml:space="preserve">following matrix equation: </w:t>
      </w:r>
    </w:p>
    <w:p w14:paraId="3E04ED52" w14:textId="1924254F" w:rsidR="00CE1068" w:rsidRDefault="00015D1A" w:rsidP="00234AD3">
      <w:pPr>
        <w:spacing w:line="360" w:lineRule="auto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LUM contrast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RG contrast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BY contrast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LUM weight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RG weight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BY weight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2/3</m:t>
                  </m:r>
                </m:e>
                <m:e>
                  <m:r>
                    <w:rPr>
                      <w:rFonts w:ascii="Cambria Math" w:hAnsi="Cambria Math"/>
                    </w:rPr>
                    <m:t>1/3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 cone contrast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M cone contrast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 cone contrast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BD1789">
        <w:t xml:space="preserve"> </w:t>
      </w:r>
    </w:p>
    <w:p w14:paraId="7AE9D49D" w14:textId="4ECF20D2" w:rsidR="008D750A" w:rsidRDefault="00053501" w:rsidP="00234AD3">
      <w:pPr>
        <w:spacing w:line="360" w:lineRule="auto"/>
      </w:pPr>
      <w:r>
        <w:t>We will set ‘LUM weight,’ ‘RG weight,’ and ‘BY weight’ to</w:t>
      </w:r>
      <w:r w:rsidR="00FA25A4">
        <w:t xml:space="preserve"> </w:t>
      </w:r>
      <w:r w:rsidR="00FA25A4" w:rsidRPr="00FA25A4">
        <w:t>40.3908</w:t>
      </w:r>
      <w:r w:rsidR="00FA25A4">
        <w:t>,</w:t>
      </w:r>
      <w:r w:rsidR="00FA25A4" w:rsidRPr="00FA25A4">
        <w:t xml:space="preserve"> 205.7353</w:t>
      </w:r>
      <w:r w:rsidR="00FA25A4">
        <w:t>, and</w:t>
      </w:r>
      <w:r w:rsidR="00FA25A4" w:rsidRPr="00FA25A4">
        <w:t xml:space="preserve"> 62.9590</w:t>
      </w:r>
      <w:r w:rsidR="00FA25A4">
        <w:t xml:space="preserve">, respectively. </w:t>
      </w:r>
      <w:r>
        <w:t xml:space="preserve">In our simulations, these values were found to bring the </w:t>
      </w:r>
      <w:r w:rsidR="00CF3EBE">
        <w:t xml:space="preserve">opponent contrast space </w:t>
      </w:r>
      <w:r w:rsidR="00990884">
        <w:t xml:space="preserve">in best agreement with the </w:t>
      </w:r>
      <w:r w:rsidR="00F52058">
        <w:t>CIELAB uniform color space (</w:t>
      </w:r>
      <w:r w:rsidR="00F52058" w:rsidRPr="008A58F2">
        <w:t>CIE, 197</w:t>
      </w:r>
      <w:r w:rsidR="00F52058">
        <w:t xml:space="preserve">7; </w:t>
      </w:r>
      <w:r w:rsidR="00F52058" w:rsidRPr="008A58F2">
        <w:t>Brainard, 200</w:t>
      </w:r>
      <w:r w:rsidR="00F52058">
        <w:t>3)</w:t>
      </w:r>
      <w:r w:rsidR="00080AA7">
        <w:t xml:space="preserve">, which </w:t>
      </w:r>
      <w:r w:rsidR="00E41FE0">
        <w:t xml:space="preserve">was designed so that a unit step in any direction of the space approximates a near-threshold perceptual difference. </w:t>
      </w:r>
      <w:r w:rsidR="00822826">
        <w:t>After converting to opponent contrast</w:t>
      </w:r>
      <w:r w:rsidR="008D750A">
        <w:t>, the fitting program will calculate the vector length of lum</w:t>
      </w:r>
      <w:r w:rsidR="008A79C7">
        <w:t>inance and red/green contrast and take the RMSE across all match pairs. Th</w:t>
      </w:r>
      <w:r w:rsidR="00822826">
        <w:t xml:space="preserve">e program will then adjust the </w:t>
      </w:r>
      <w:r w:rsidR="00FA653C">
        <w:t xml:space="preserve">L and M </w:t>
      </w:r>
      <w:r w:rsidR="00822826">
        <w:t xml:space="preserve">cone fundamentals </w:t>
      </w:r>
      <w:r w:rsidR="00FA653C">
        <w:t xml:space="preserve">parameters </w:t>
      </w:r>
      <w:r w:rsidR="00822826">
        <w:t>to minimize the RMS</w:t>
      </w:r>
      <w:r w:rsidR="006B7478">
        <w:t xml:space="preserve">E, using </w:t>
      </w:r>
      <w:proofErr w:type="spellStart"/>
      <w:r w:rsidR="00C30AE6">
        <w:t>Matlab’s</w:t>
      </w:r>
      <w:proofErr w:type="spellEnd"/>
      <w:r w:rsidR="00C30AE6">
        <w:t xml:space="preserve"> </w:t>
      </w:r>
      <w:proofErr w:type="spellStart"/>
      <w:r w:rsidR="00C30AE6">
        <w:t>fmincon</w:t>
      </w:r>
      <w:proofErr w:type="spellEnd"/>
      <w:r w:rsidR="00C30AE6">
        <w:t xml:space="preserve"> routine with an ‘active-set’ algorithm.</w:t>
      </w:r>
    </w:p>
    <w:p w14:paraId="272AE6EB" w14:textId="653A987E" w:rsidR="006B7478" w:rsidRDefault="0099010C" w:rsidP="00234AD3">
      <w:pPr>
        <w:spacing w:line="360" w:lineRule="auto"/>
      </w:pPr>
      <w:r>
        <w:t>*</w:t>
      </w:r>
      <w:r w:rsidR="006B7478">
        <w:t xml:space="preserve">Although we do not plan to independently validate </w:t>
      </w:r>
      <w:r w:rsidR="00D0074A">
        <w:t xml:space="preserve">subjects’ cone fundamentals in this pilot experiment, we will check whether the fitted cone fundamentals fall within a reasonable range </w:t>
      </w:r>
      <w:r w:rsidR="00234AD3">
        <w:t>for color-</w:t>
      </w:r>
      <w:r w:rsidR="00234AD3">
        <w:lastRenderedPageBreak/>
        <w:t xml:space="preserve">normal observers. </w:t>
      </w:r>
      <w:r w:rsidR="00BE2477">
        <w:t>We will also check how well the fitted cone fundamentals account for each individual match</w:t>
      </w:r>
      <w:r w:rsidR="000E12E1">
        <w:t xml:space="preserve">. To do this, we will compute the </w:t>
      </w:r>
      <w:r w:rsidR="00FA653C">
        <w:t xml:space="preserve">L and M </w:t>
      </w:r>
      <w:r w:rsidR="000E12E1">
        <w:t>cone excitations for the measured primary mixture and reference light at the match, using both the best-fit cone fundamentals and the standard cone fundamentals</w:t>
      </w:r>
      <w:r w:rsidR="00BE2477">
        <w:t>.</w:t>
      </w:r>
      <w:r w:rsidR="000E12E1">
        <w:t xml:space="preserve"> We will then take the mean and SEM of cone excitations for matches at each reference wavelength tested. </w:t>
      </w:r>
      <w:r w:rsidR="00FA653C">
        <w:t xml:space="preserve">For comparison, we will compute the predicted L and M cone excitations for standard </w:t>
      </w:r>
      <w:proofErr w:type="gramStart"/>
      <w:r w:rsidR="00FA653C">
        <w:t>10 degree</w:t>
      </w:r>
      <w:proofErr w:type="gramEnd"/>
      <w:r w:rsidR="00FA653C">
        <w:t xml:space="preserve"> L and M cone fundamentals.</w:t>
      </w:r>
    </w:p>
    <w:p w14:paraId="1EB7BD0D" w14:textId="309CD80B" w:rsidR="00D61E31" w:rsidRPr="00D61E31" w:rsidRDefault="00D61E31" w:rsidP="00234AD3">
      <w:pPr>
        <w:spacing w:line="360" w:lineRule="auto"/>
        <w:rPr>
          <w:b/>
          <w:bCs/>
        </w:rPr>
      </w:pPr>
      <w:r w:rsidRPr="00D61E31">
        <w:rPr>
          <w:b/>
          <w:bCs/>
        </w:rPr>
        <w:t>Works Cited</w:t>
      </w:r>
    </w:p>
    <w:p w14:paraId="32FA34A9" w14:textId="77777777" w:rsidR="00D61E31" w:rsidRDefault="00D61E31" w:rsidP="00D61E31">
      <w:pPr>
        <w:pStyle w:val="EndNoteBibliography"/>
        <w:spacing w:after="0" w:line="360" w:lineRule="auto"/>
        <w:ind w:left="720" w:hanging="720"/>
        <w:rPr>
          <w:noProof/>
        </w:rPr>
      </w:pPr>
      <w:r w:rsidRPr="00256E87">
        <w:rPr>
          <w:noProof/>
        </w:rPr>
        <w:t xml:space="preserve">Asano, Y., Fairchild, M. D., &amp; </w:t>
      </w:r>
      <w:r w:rsidRPr="00471BFD">
        <w:rPr>
          <w:noProof/>
        </w:rPr>
        <w:t>Blondé</w:t>
      </w:r>
      <w:r w:rsidRPr="00256E87">
        <w:rPr>
          <w:noProof/>
        </w:rPr>
        <w:t xml:space="preserve">, L. (2016). Individual Colorimetric Observer Model. </w:t>
      </w:r>
      <w:r w:rsidRPr="00256E87">
        <w:rPr>
          <w:i/>
          <w:noProof/>
        </w:rPr>
        <w:t>PLoS One, 11(2)</w:t>
      </w:r>
      <w:r w:rsidRPr="00256E87">
        <w:rPr>
          <w:noProof/>
        </w:rPr>
        <w:t>, e0145671.Green</w:t>
      </w:r>
    </w:p>
    <w:p w14:paraId="0E1D0AF2" w14:textId="6D14F28E" w:rsidR="00D61E31" w:rsidRDefault="00D61E31" w:rsidP="00FC5E33">
      <w:pPr>
        <w:pStyle w:val="EndNoteBibliography"/>
        <w:spacing w:after="0" w:line="360" w:lineRule="auto"/>
        <w:ind w:left="720" w:hanging="720"/>
        <w:rPr>
          <w:noProof/>
        </w:rPr>
      </w:pPr>
      <w:bookmarkStart w:id="0" w:name="_Hlk66907388"/>
      <w:r w:rsidRPr="00471BFD">
        <w:rPr>
          <w:noProof/>
        </w:rPr>
        <w:t>Asano, Y., Fairchild, M. D., Blondé, L., &amp; Morvan</w:t>
      </w:r>
      <w:bookmarkEnd w:id="0"/>
      <w:r w:rsidRPr="00471BFD">
        <w:rPr>
          <w:noProof/>
        </w:rPr>
        <w:t>, P. (2016). Color matching experiment for highlighting interobserver variability. Color Research &amp; Application, 41(5):530, 530-539.</w:t>
      </w:r>
    </w:p>
    <w:p w14:paraId="0B399A38" w14:textId="77777777" w:rsidR="00D61E31" w:rsidRDefault="00D61E31" w:rsidP="00D61E31">
      <w:pPr>
        <w:pStyle w:val="EndNoteBibliography"/>
        <w:spacing w:line="360" w:lineRule="auto"/>
        <w:rPr>
          <w:noProof/>
        </w:rPr>
      </w:pPr>
      <w:r w:rsidRPr="00B24A90">
        <w:rPr>
          <w:noProof/>
        </w:rPr>
        <w:t xml:space="preserve">Brainard, D. H. (2003). Color appearance and color difference specification. In S. K. Shevell (Ed.), </w:t>
      </w:r>
      <w:r w:rsidRPr="00B24A90">
        <w:rPr>
          <w:i/>
          <w:iCs/>
          <w:noProof/>
        </w:rPr>
        <w:t xml:space="preserve">The </w:t>
      </w:r>
      <w:r>
        <w:rPr>
          <w:i/>
          <w:iCs/>
          <w:noProof/>
        </w:rPr>
        <w:tab/>
      </w:r>
      <w:r w:rsidRPr="00B24A90">
        <w:rPr>
          <w:i/>
          <w:iCs/>
          <w:noProof/>
        </w:rPr>
        <w:t>Science of Color</w:t>
      </w:r>
      <w:r w:rsidRPr="00B24A90">
        <w:rPr>
          <w:noProof/>
        </w:rPr>
        <w:t xml:space="preserve"> (2 ed., pp. 191-216). Oxford: Optical Society of America; Elsevier Ltd.</w:t>
      </w:r>
    </w:p>
    <w:p w14:paraId="4FD6CCC8" w14:textId="35F060E7" w:rsidR="00D61E31" w:rsidRDefault="00D61E31" w:rsidP="000256B9">
      <w:pPr>
        <w:pStyle w:val="EndNoteBibliography"/>
        <w:spacing w:after="0" w:line="360" w:lineRule="auto"/>
        <w:ind w:left="720" w:hanging="720"/>
        <w:rPr>
          <w:noProof/>
        </w:rPr>
      </w:pPr>
      <w:r w:rsidRPr="00B24A90">
        <w:rPr>
          <w:noProof/>
        </w:rPr>
        <w:t xml:space="preserve">CIE. (1977). CIE recommendations on uniform color spaces, color-difference equations, and metric color terms. </w:t>
      </w:r>
      <w:r w:rsidRPr="00B24A90">
        <w:rPr>
          <w:i/>
          <w:iCs/>
          <w:noProof/>
        </w:rPr>
        <w:t>Color Research and Applications, 2(1)</w:t>
      </w:r>
      <w:r w:rsidRPr="00B24A90">
        <w:rPr>
          <w:noProof/>
        </w:rPr>
        <w:t>, 5-6.</w:t>
      </w:r>
    </w:p>
    <w:p w14:paraId="7E7B0665" w14:textId="77777777" w:rsidR="00D61E31" w:rsidRDefault="00D61E31" w:rsidP="00D61E31">
      <w:pPr>
        <w:pStyle w:val="EndNoteBibliography"/>
        <w:spacing w:line="360" w:lineRule="auto"/>
        <w:rPr>
          <w:noProof/>
        </w:rPr>
      </w:pPr>
      <w:r w:rsidRPr="00471BFD">
        <w:rPr>
          <w:noProof/>
        </w:rPr>
        <w:t xml:space="preserve">He, J. C., &amp; Shevell, S. K. (1994). Individual differences in cone photopigments of normal trichromats </w:t>
      </w:r>
      <w:r>
        <w:rPr>
          <w:noProof/>
        </w:rPr>
        <w:tab/>
      </w:r>
      <w:r w:rsidRPr="00471BFD">
        <w:rPr>
          <w:noProof/>
        </w:rPr>
        <w:t xml:space="preserve">measured by dual Rayleigh-type color matches. </w:t>
      </w:r>
      <w:r w:rsidRPr="00471BFD">
        <w:rPr>
          <w:i/>
          <w:iCs/>
          <w:noProof/>
        </w:rPr>
        <w:t>Vision Research, 34(3)</w:t>
      </w:r>
      <w:r w:rsidRPr="00471BFD">
        <w:rPr>
          <w:noProof/>
        </w:rPr>
        <w:t>, 367-376.</w:t>
      </w:r>
    </w:p>
    <w:p w14:paraId="50B1468E" w14:textId="77777777" w:rsidR="00D61E31" w:rsidRDefault="00D61E31" w:rsidP="00D61E31">
      <w:pPr>
        <w:pStyle w:val="EndNoteBibliography"/>
        <w:spacing w:line="360" w:lineRule="auto"/>
        <w:rPr>
          <w:noProof/>
        </w:rPr>
      </w:pPr>
      <w:r w:rsidRPr="00A55072">
        <w:rPr>
          <w:noProof/>
        </w:rPr>
        <w:t xml:space="preserve">Jacobs, G. H., Neitz, J., &amp; Krogh, K. (1996). Electroretinogram flicker photometry and its applications. </w:t>
      </w:r>
      <w:r>
        <w:rPr>
          <w:noProof/>
        </w:rPr>
        <w:tab/>
      </w:r>
      <w:r w:rsidRPr="00A55072">
        <w:rPr>
          <w:i/>
          <w:iCs/>
          <w:noProof/>
        </w:rPr>
        <w:t>Journal of the Optical Society of America A, 13(3)</w:t>
      </w:r>
      <w:r w:rsidRPr="00A55072">
        <w:rPr>
          <w:noProof/>
        </w:rPr>
        <w:t>, 641-648.</w:t>
      </w:r>
    </w:p>
    <w:p w14:paraId="3BEC84C9" w14:textId="77777777" w:rsidR="00D61E31" w:rsidRPr="00A55072" w:rsidRDefault="00D61E31" w:rsidP="00D61E31">
      <w:pPr>
        <w:pStyle w:val="EndNoteBibliography"/>
        <w:spacing w:line="360" w:lineRule="auto"/>
        <w:rPr>
          <w:noProof/>
        </w:rPr>
      </w:pPr>
      <w:r w:rsidRPr="00A55072">
        <w:rPr>
          <w:noProof/>
        </w:rPr>
        <w:t xml:space="preserve">Moreland, J. D., &amp; Kerr, J. (1979). Optimization of a Rayleigh-type equation for the detection of </w:t>
      </w:r>
      <w:r>
        <w:rPr>
          <w:noProof/>
        </w:rPr>
        <w:tab/>
      </w:r>
      <w:r w:rsidRPr="00A55072">
        <w:rPr>
          <w:noProof/>
        </w:rPr>
        <w:t xml:space="preserve">tritanomaly. </w:t>
      </w:r>
      <w:r w:rsidRPr="00A55072">
        <w:rPr>
          <w:i/>
          <w:iCs/>
          <w:noProof/>
        </w:rPr>
        <w:t>Vision Res, 19(12)</w:t>
      </w:r>
      <w:r w:rsidRPr="00A55072">
        <w:rPr>
          <w:noProof/>
        </w:rPr>
        <w:t>, 1369-1375.</w:t>
      </w:r>
    </w:p>
    <w:p w14:paraId="7BAEECA1" w14:textId="77777777" w:rsidR="00D61E31" w:rsidRDefault="00D61E31" w:rsidP="00D61E31">
      <w:pPr>
        <w:pStyle w:val="EndNoteBibliography"/>
        <w:spacing w:line="360" w:lineRule="auto"/>
        <w:rPr>
          <w:noProof/>
        </w:rPr>
      </w:pPr>
      <w:r w:rsidRPr="00A55072">
        <w:rPr>
          <w:noProof/>
        </w:rPr>
        <w:t xml:space="preserve">Moreland, J. D. (2004). Moreland match revisited. </w:t>
      </w:r>
      <w:r w:rsidRPr="00A55072">
        <w:rPr>
          <w:i/>
          <w:iCs/>
          <w:noProof/>
        </w:rPr>
        <w:t>Visual Neuroscience, 21(3)</w:t>
      </w:r>
      <w:r w:rsidRPr="00A55072">
        <w:rPr>
          <w:noProof/>
        </w:rPr>
        <w:t>, 471-476.</w:t>
      </w:r>
    </w:p>
    <w:p w14:paraId="00B8E5FC" w14:textId="77777777" w:rsidR="00D61E31" w:rsidRDefault="00D61E31" w:rsidP="00D61E31">
      <w:pPr>
        <w:pStyle w:val="EndNoteBibliography"/>
        <w:spacing w:line="360" w:lineRule="auto"/>
        <w:rPr>
          <w:noProof/>
        </w:rPr>
      </w:pPr>
      <w:r w:rsidRPr="00471BFD">
        <w:rPr>
          <w:noProof/>
        </w:rPr>
        <w:t xml:space="preserve">Neitz, J., &amp; Jacobs, G. H. (1986). Polymorphism of the long-wavelength cone in normal human colour </w:t>
      </w:r>
      <w:r>
        <w:rPr>
          <w:noProof/>
        </w:rPr>
        <w:tab/>
      </w:r>
      <w:r w:rsidRPr="00471BFD">
        <w:rPr>
          <w:noProof/>
        </w:rPr>
        <w:t xml:space="preserve">vision. </w:t>
      </w:r>
      <w:r w:rsidRPr="00471BFD">
        <w:rPr>
          <w:i/>
          <w:iCs/>
          <w:noProof/>
        </w:rPr>
        <w:t>Nature, 323(6089)</w:t>
      </w:r>
      <w:r w:rsidRPr="00471BFD">
        <w:rPr>
          <w:noProof/>
        </w:rPr>
        <w:t>, 623-625.</w:t>
      </w:r>
    </w:p>
    <w:p w14:paraId="5998205F" w14:textId="1DDAEB91" w:rsidR="00D61E31" w:rsidRPr="00471BFD" w:rsidRDefault="00D61E31" w:rsidP="001E5BC8">
      <w:pPr>
        <w:pStyle w:val="EndNoteBibliography"/>
        <w:spacing w:line="360" w:lineRule="auto"/>
        <w:rPr>
          <w:noProof/>
        </w:rPr>
      </w:pPr>
      <w:r w:rsidRPr="00A55072">
        <w:rPr>
          <w:noProof/>
        </w:rPr>
        <w:t xml:space="preserve">Neitz, J., &amp; Neitz, M. (2011). The genetics of normal and defective color vision. </w:t>
      </w:r>
      <w:r w:rsidRPr="00A55072">
        <w:rPr>
          <w:i/>
          <w:iCs/>
          <w:noProof/>
        </w:rPr>
        <w:t>Vision Research, 51(7)</w:t>
      </w:r>
      <w:r w:rsidRPr="00A55072">
        <w:rPr>
          <w:noProof/>
        </w:rPr>
        <w:t xml:space="preserve">, </w:t>
      </w:r>
      <w:r>
        <w:rPr>
          <w:noProof/>
        </w:rPr>
        <w:tab/>
      </w:r>
      <w:r w:rsidRPr="00A55072">
        <w:rPr>
          <w:noProof/>
        </w:rPr>
        <w:t>633-651.</w:t>
      </w:r>
    </w:p>
    <w:p w14:paraId="3C1EC9FC" w14:textId="77777777" w:rsidR="00D61E31" w:rsidRDefault="00D61E31" w:rsidP="00D61E31">
      <w:pPr>
        <w:pStyle w:val="EndNoteBibliography"/>
        <w:spacing w:line="360" w:lineRule="auto"/>
        <w:rPr>
          <w:noProof/>
        </w:rPr>
      </w:pPr>
      <w:r w:rsidRPr="00471BFD">
        <w:rPr>
          <w:noProof/>
        </w:rPr>
        <w:t xml:space="preserve">Sanocki, E., Lindsey, D. T., Winderickx, J., Teller, D. Y., Deeb, S. S., &amp; Motulsky, A. G. (1993). </w:t>
      </w:r>
      <w:r>
        <w:rPr>
          <w:noProof/>
        </w:rPr>
        <w:tab/>
      </w:r>
      <w:r w:rsidRPr="00471BFD">
        <w:rPr>
          <w:noProof/>
        </w:rPr>
        <w:t xml:space="preserve">Serine/alanine amino acid polymorphism of the L and M-cone pigments: Effects on Rayleigh </w:t>
      </w:r>
      <w:r>
        <w:rPr>
          <w:noProof/>
        </w:rPr>
        <w:lastRenderedPageBreak/>
        <w:tab/>
      </w:r>
      <w:r w:rsidRPr="00471BFD">
        <w:rPr>
          <w:noProof/>
        </w:rPr>
        <w:t xml:space="preserve">matches among deuteranopes, protanopes and color normal observers. </w:t>
      </w:r>
      <w:r w:rsidRPr="00471BFD">
        <w:rPr>
          <w:i/>
          <w:iCs/>
          <w:noProof/>
        </w:rPr>
        <w:t>Vision Research, 33(15)</w:t>
      </w:r>
      <w:r w:rsidRPr="00471BFD">
        <w:rPr>
          <w:noProof/>
        </w:rPr>
        <w:t xml:space="preserve">, </w:t>
      </w:r>
      <w:r>
        <w:rPr>
          <w:noProof/>
        </w:rPr>
        <w:tab/>
      </w:r>
      <w:r w:rsidRPr="00471BFD">
        <w:rPr>
          <w:noProof/>
        </w:rPr>
        <w:t>2139-2152.</w:t>
      </w:r>
    </w:p>
    <w:p w14:paraId="04378A7D" w14:textId="77777777" w:rsidR="00D61E31" w:rsidRPr="008D1C40" w:rsidRDefault="00D61E31" w:rsidP="00D61E31">
      <w:pPr>
        <w:pStyle w:val="EndNoteBibliography"/>
        <w:spacing w:line="360" w:lineRule="auto"/>
        <w:rPr>
          <w:noProof/>
        </w:rPr>
      </w:pPr>
      <w:r w:rsidRPr="008D1C40">
        <w:rPr>
          <w:noProof/>
        </w:rPr>
        <w:t>Stockman, A. &amp; Brainard, D. H. (2010). Color vision mechanisms. In the OSA Handbook of</w:t>
      </w:r>
    </w:p>
    <w:p w14:paraId="6585307B" w14:textId="6C3A6B5E" w:rsidR="00D61E31" w:rsidRDefault="00D61E31" w:rsidP="00412A9E">
      <w:pPr>
        <w:pStyle w:val="EndNoteBibliography"/>
        <w:spacing w:line="360" w:lineRule="auto"/>
        <w:rPr>
          <w:noProof/>
        </w:rPr>
      </w:pPr>
      <w:r>
        <w:rPr>
          <w:noProof/>
        </w:rPr>
        <w:tab/>
      </w:r>
      <w:r w:rsidRPr="008D1C40">
        <w:rPr>
          <w:noProof/>
        </w:rPr>
        <w:t>Optics (3rd edition, M. Bass, ed). McGraw-Hill, New York, pp. 11.1-11.104</w:t>
      </w:r>
    </w:p>
    <w:p w14:paraId="2D544BD6" w14:textId="2964444A" w:rsidR="000E12E1" w:rsidRDefault="00D61E31" w:rsidP="00FC5E33">
      <w:pPr>
        <w:pStyle w:val="EndNoteBibliography"/>
        <w:spacing w:line="360" w:lineRule="auto"/>
        <w:rPr>
          <w:noProof/>
        </w:rPr>
      </w:pPr>
      <w:r w:rsidRPr="00A55072">
        <w:rPr>
          <w:noProof/>
        </w:rPr>
        <w:t xml:space="preserve">Thomas P. B. Mollon J. D. (2004). Modelling the Rayleigh match. </w:t>
      </w:r>
      <w:r w:rsidRPr="00A55072">
        <w:rPr>
          <w:noProof/>
          <w:u w:val="single"/>
        </w:rPr>
        <w:t xml:space="preserve">Visual Neuroscience </w:t>
      </w:r>
      <w:r w:rsidRPr="00A55072">
        <w:rPr>
          <w:noProof/>
        </w:rPr>
        <w:t>21, 477–482.</w:t>
      </w:r>
    </w:p>
    <w:sectPr w:rsidR="000E12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0CE8" w14:textId="77777777" w:rsidR="00C43654" w:rsidRDefault="00C43654" w:rsidP="000E12E1">
      <w:pPr>
        <w:spacing w:after="0" w:line="240" w:lineRule="auto"/>
      </w:pPr>
      <w:r>
        <w:separator/>
      </w:r>
    </w:p>
  </w:endnote>
  <w:endnote w:type="continuationSeparator" w:id="0">
    <w:p w14:paraId="1708E14E" w14:textId="77777777" w:rsidR="00C43654" w:rsidRDefault="00C43654" w:rsidP="000E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336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6A991" w14:textId="1086AE4C" w:rsidR="000E12E1" w:rsidRDefault="000E12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AD7B6" w14:textId="77777777" w:rsidR="000E12E1" w:rsidRDefault="000E1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C1D6" w14:textId="77777777" w:rsidR="00C43654" w:rsidRDefault="00C43654" w:rsidP="000E12E1">
      <w:pPr>
        <w:spacing w:after="0" w:line="240" w:lineRule="auto"/>
      </w:pPr>
      <w:r>
        <w:separator/>
      </w:r>
    </w:p>
  </w:footnote>
  <w:footnote w:type="continuationSeparator" w:id="0">
    <w:p w14:paraId="38C7249F" w14:textId="77777777" w:rsidR="00C43654" w:rsidRDefault="00C43654" w:rsidP="000E1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EE3"/>
    <w:multiLevelType w:val="hybridMultilevel"/>
    <w:tmpl w:val="E9A4E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7F0F17"/>
    <w:multiLevelType w:val="hybridMultilevel"/>
    <w:tmpl w:val="1956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F64"/>
    <w:multiLevelType w:val="hybridMultilevel"/>
    <w:tmpl w:val="F9C6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E103F"/>
    <w:multiLevelType w:val="hybridMultilevel"/>
    <w:tmpl w:val="E4D8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861A4"/>
    <w:multiLevelType w:val="hybridMultilevel"/>
    <w:tmpl w:val="355E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D3481"/>
    <w:multiLevelType w:val="hybridMultilevel"/>
    <w:tmpl w:val="FDA0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F6F66"/>
    <w:multiLevelType w:val="hybridMultilevel"/>
    <w:tmpl w:val="BC1C2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B4"/>
    <w:rsid w:val="0001051F"/>
    <w:rsid w:val="00010B25"/>
    <w:rsid w:val="00015D1A"/>
    <w:rsid w:val="00021456"/>
    <w:rsid w:val="000226A2"/>
    <w:rsid w:val="000256B9"/>
    <w:rsid w:val="00032D80"/>
    <w:rsid w:val="00043BD1"/>
    <w:rsid w:val="00052AF6"/>
    <w:rsid w:val="00053501"/>
    <w:rsid w:val="0005369F"/>
    <w:rsid w:val="0005423C"/>
    <w:rsid w:val="00056C2B"/>
    <w:rsid w:val="00056D72"/>
    <w:rsid w:val="00074A35"/>
    <w:rsid w:val="000750FF"/>
    <w:rsid w:val="00080AA7"/>
    <w:rsid w:val="000847A5"/>
    <w:rsid w:val="00094A55"/>
    <w:rsid w:val="00097835"/>
    <w:rsid w:val="000A3208"/>
    <w:rsid w:val="000B4DE6"/>
    <w:rsid w:val="000C0280"/>
    <w:rsid w:val="000E12E1"/>
    <w:rsid w:val="000F7692"/>
    <w:rsid w:val="00102B7F"/>
    <w:rsid w:val="00103F9A"/>
    <w:rsid w:val="00106E81"/>
    <w:rsid w:val="0011110B"/>
    <w:rsid w:val="00115EE7"/>
    <w:rsid w:val="0012379A"/>
    <w:rsid w:val="00125EAD"/>
    <w:rsid w:val="0014596A"/>
    <w:rsid w:val="00152342"/>
    <w:rsid w:val="00170A31"/>
    <w:rsid w:val="00182B1D"/>
    <w:rsid w:val="00182E88"/>
    <w:rsid w:val="001904E7"/>
    <w:rsid w:val="00197F69"/>
    <w:rsid w:val="001A284A"/>
    <w:rsid w:val="001B06EE"/>
    <w:rsid w:val="001B1DD0"/>
    <w:rsid w:val="001B7A85"/>
    <w:rsid w:val="001C2245"/>
    <w:rsid w:val="001C5EA8"/>
    <w:rsid w:val="001D531F"/>
    <w:rsid w:val="001E38A1"/>
    <w:rsid w:val="001E5BC8"/>
    <w:rsid w:val="001F18D6"/>
    <w:rsid w:val="001F5F73"/>
    <w:rsid w:val="00213B0B"/>
    <w:rsid w:val="00234AD3"/>
    <w:rsid w:val="002550BF"/>
    <w:rsid w:val="00272902"/>
    <w:rsid w:val="002910E8"/>
    <w:rsid w:val="00292EB3"/>
    <w:rsid w:val="00295C3C"/>
    <w:rsid w:val="00296A4E"/>
    <w:rsid w:val="00296FC6"/>
    <w:rsid w:val="002B0547"/>
    <w:rsid w:val="002B12C4"/>
    <w:rsid w:val="002C074A"/>
    <w:rsid w:val="002C39C0"/>
    <w:rsid w:val="002C6C43"/>
    <w:rsid w:val="002C73CA"/>
    <w:rsid w:val="002D05FF"/>
    <w:rsid w:val="002D52EE"/>
    <w:rsid w:val="002E2E89"/>
    <w:rsid w:val="002E77F2"/>
    <w:rsid w:val="002F5BD7"/>
    <w:rsid w:val="00306B98"/>
    <w:rsid w:val="003135AF"/>
    <w:rsid w:val="00314B2A"/>
    <w:rsid w:val="00342E69"/>
    <w:rsid w:val="003439FE"/>
    <w:rsid w:val="003503CD"/>
    <w:rsid w:val="00354819"/>
    <w:rsid w:val="003662DA"/>
    <w:rsid w:val="0037080E"/>
    <w:rsid w:val="0037447F"/>
    <w:rsid w:val="003A0B2F"/>
    <w:rsid w:val="003A0EFF"/>
    <w:rsid w:val="003A2195"/>
    <w:rsid w:val="003A4AF5"/>
    <w:rsid w:val="003B7F40"/>
    <w:rsid w:val="003C03E9"/>
    <w:rsid w:val="003C1017"/>
    <w:rsid w:val="003C10A2"/>
    <w:rsid w:val="003C5255"/>
    <w:rsid w:val="003C550C"/>
    <w:rsid w:val="003C55B3"/>
    <w:rsid w:val="003D1CC5"/>
    <w:rsid w:val="003D5BE7"/>
    <w:rsid w:val="003E0C90"/>
    <w:rsid w:val="0040164B"/>
    <w:rsid w:val="00405B35"/>
    <w:rsid w:val="0041221B"/>
    <w:rsid w:val="00412A9E"/>
    <w:rsid w:val="004174DD"/>
    <w:rsid w:val="00417EAA"/>
    <w:rsid w:val="0042222B"/>
    <w:rsid w:val="00435F46"/>
    <w:rsid w:val="004430D6"/>
    <w:rsid w:val="004610AC"/>
    <w:rsid w:val="00481E4F"/>
    <w:rsid w:val="004830BC"/>
    <w:rsid w:val="00487DE0"/>
    <w:rsid w:val="00491B82"/>
    <w:rsid w:val="004B4A78"/>
    <w:rsid w:val="004E1417"/>
    <w:rsid w:val="004F627B"/>
    <w:rsid w:val="005107B0"/>
    <w:rsid w:val="00523B28"/>
    <w:rsid w:val="005300A5"/>
    <w:rsid w:val="00563DF0"/>
    <w:rsid w:val="005653A3"/>
    <w:rsid w:val="00575254"/>
    <w:rsid w:val="00576139"/>
    <w:rsid w:val="005846BE"/>
    <w:rsid w:val="00586028"/>
    <w:rsid w:val="00595E6F"/>
    <w:rsid w:val="00597CFC"/>
    <w:rsid w:val="005A468D"/>
    <w:rsid w:val="005B74D9"/>
    <w:rsid w:val="005B7917"/>
    <w:rsid w:val="005E41BF"/>
    <w:rsid w:val="005E7C55"/>
    <w:rsid w:val="00602BCD"/>
    <w:rsid w:val="00616366"/>
    <w:rsid w:val="00620D8B"/>
    <w:rsid w:val="00640971"/>
    <w:rsid w:val="006413F6"/>
    <w:rsid w:val="00674408"/>
    <w:rsid w:val="00674EFC"/>
    <w:rsid w:val="006773C8"/>
    <w:rsid w:val="00694E6C"/>
    <w:rsid w:val="00696C6F"/>
    <w:rsid w:val="006A23B8"/>
    <w:rsid w:val="006A536C"/>
    <w:rsid w:val="006A53AF"/>
    <w:rsid w:val="006B7478"/>
    <w:rsid w:val="006C020A"/>
    <w:rsid w:val="006C4BCC"/>
    <w:rsid w:val="006C6A1B"/>
    <w:rsid w:val="006D0681"/>
    <w:rsid w:val="006D2289"/>
    <w:rsid w:val="006E285F"/>
    <w:rsid w:val="00706A45"/>
    <w:rsid w:val="00730EA9"/>
    <w:rsid w:val="007324BA"/>
    <w:rsid w:val="00743ECF"/>
    <w:rsid w:val="00751C7D"/>
    <w:rsid w:val="00754637"/>
    <w:rsid w:val="00755A2C"/>
    <w:rsid w:val="00761C44"/>
    <w:rsid w:val="00766970"/>
    <w:rsid w:val="00770849"/>
    <w:rsid w:val="00784752"/>
    <w:rsid w:val="00796F32"/>
    <w:rsid w:val="007B1B9E"/>
    <w:rsid w:val="007B70E7"/>
    <w:rsid w:val="007C61A9"/>
    <w:rsid w:val="007F5EA6"/>
    <w:rsid w:val="00804067"/>
    <w:rsid w:val="00805F22"/>
    <w:rsid w:val="00822826"/>
    <w:rsid w:val="00824EBF"/>
    <w:rsid w:val="00826141"/>
    <w:rsid w:val="0083023F"/>
    <w:rsid w:val="00831A6D"/>
    <w:rsid w:val="00832BF7"/>
    <w:rsid w:val="00836B92"/>
    <w:rsid w:val="00846DE2"/>
    <w:rsid w:val="008526C8"/>
    <w:rsid w:val="0085343E"/>
    <w:rsid w:val="00862F9F"/>
    <w:rsid w:val="008632B0"/>
    <w:rsid w:val="00894D23"/>
    <w:rsid w:val="008A27B4"/>
    <w:rsid w:val="008A4FF5"/>
    <w:rsid w:val="008A75C8"/>
    <w:rsid w:val="008A79C7"/>
    <w:rsid w:val="008B1915"/>
    <w:rsid w:val="008B20D6"/>
    <w:rsid w:val="008B40E7"/>
    <w:rsid w:val="008C11C2"/>
    <w:rsid w:val="008C3339"/>
    <w:rsid w:val="008D4A62"/>
    <w:rsid w:val="008D750A"/>
    <w:rsid w:val="008E2134"/>
    <w:rsid w:val="008F4AA0"/>
    <w:rsid w:val="008F51EF"/>
    <w:rsid w:val="0090510D"/>
    <w:rsid w:val="009160BF"/>
    <w:rsid w:val="00917EE3"/>
    <w:rsid w:val="0092335C"/>
    <w:rsid w:val="00933D68"/>
    <w:rsid w:val="00945CC1"/>
    <w:rsid w:val="00952763"/>
    <w:rsid w:val="00957C41"/>
    <w:rsid w:val="00960188"/>
    <w:rsid w:val="009719C3"/>
    <w:rsid w:val="0099010C"/>
    <w:rsid w:val="00990884"/>
    <w:rsid w:val="009976F0"/>
    <w:rsid w:val="009A1ABA"/>
    <w:rsid w:val="009A646E"/>
    <w:rsid w:val="009B03BA"/>
    <w:rsid w:val="009B0670"/>
    <w:rsid w:val="009B0B8F"/>
    <w:rsid w:val="009C2195"/>
    <w:rsid w:val="009C2A88"/>
    <w:rsid w:val="009C6D80"/>
    <w:rsid w:val="009D3685"/>
    <w:rsid w:val="009D41D6"/>
    <w:rsid w:val="009D675D"/>
    <w:rsid w:val="009E7C8F"/>
    <w:rsid w:val="009F19F4"/>
    <w:rsid w:val="00A02CFC"/>
    <w:rsid w:val="00A1111E"/>
    <w:rsid w:val="00A24650"/>
    <w:rsid w:val="00A32166"/>
    <w:rsid w:val="00A3300C"/>
    <w:rsid w:val="00A339EC"/>
    <w:rsid w:val="00A37C92"/>
    <w:rsid w:val="00A40DB2"/>
    <w:rsid w:val="00A4398E"/>
    <w:rsid w:val="00A533DB"/>
    <w:rsid w:val="00A75250"/>
    <w:rsid w:val="00A7704F"/>
    <w:rsid w:val="00A801B2"/>
    <w:rsid w:val="00A8786E"/>
    <w:rsid w:val="00A90725"/>
    <w:rsid w:val="00A968E3"/>
    <w:rsid w:val="00A972AB"/>
    <w:rsid w:val="00AA1522"/>
    <w:rsid w:val="00AA1651"/>
    <w:rsid w:val="00AA25BB"/>
    <w:rsid w:val="00AC72B9"/>
    <w:rsid w:val="00AD7F54"/>
    <w:rsid w:val="00AE43EC"/>
    <w:rsid w:val="00B237EC"/>
    <w:rsid w:val="00B24433"/>
    <w:rsid w:val="00B25D21"/>
    <w:rsid w:val="00B25E07"/>
    <w:rsid w:val="00B42373"/>
    <w:rsid w:val="00B4389C"/>
    <w:rsid w:val="00B54A69"/>
    <w:rsid w:val="00B8481E"/>
    <w:rsid w:val="00B8666A"/>
    <w:rsid w:val="00B87756"/>
    <w:rsid w:val="00B94A5C"/>
    <w:rsid w:val="00BA01ED"/>
    <w:rsid w:val="00BA0213"/>
    <w:rsid w:val="00BA2E70"/>
    <w:rsid w:val="00BB5DE6"/>
    <w:rsid w:val="00BD1789"/>
    <w:rsid w:val="00BD44F8"/>
    <w:rsid w:val="00BD7D34"/>
    <w:rsid w:val="00BE1A2F"/>
    <w:rsid w:val="00BE2477"/>
    <w:rsid w:val="00BE25CB"/>
    <w:rsid w:val="00BE4EE1"/>
    <w:rsid w:val="00BE58EF"/>
    <w:rsid w:val="00BF4A2B"/>
    <w:rsid w:val="00BF6423"/>
    <w:rsid w:val="00C071A8"/>
    <w:rsid w:val="00C1256E"/>
    <w:rsid w:val="00C2088C"/>
    <w:rsid w:val="00C30AE6"/>
    <w:rsid w:val="00C43654"/>
    <w:rsid w:val="00C455CC"/>
    <w:rsid w:val="00C52E4E"/>
    <w:rsid w:val="00C569E7"/>
    <w:rsid w:val="00C64692"/>
    <w:rsid w:val="00C67FCE"/>
    <w:rsid w:val="00C75044"/>
    <w:rsid w:val="00C752E7"/>
    <w:rsid w:val="00CA446E"/>
    <w:rsid w:val="00CB3A82"/>
    <w:rsid w:val="00CB7DE7"/>
    <w:rsid w:val="00CC5466"/>
    <w:rsid w:val="00CD1BF0"/>
    <w:rsid w:val="00CD22F3"/>
    <w:rsid w:val="00CE1068"/>
    <w:rsid w:val="00CE2B80"/>
    <w:rsid w:val="00CE3C43"/>
    <w:rsid w:val="00CE5608"/>
    <w:rsid w:val="00CF11C9"/>
    <w:rsid w:val="00CF13A7"/>
    <w:rsid w:val="00CF157E"/>
    <w:rsid w:val="00CF3EBE"/>
    <w:rsid w:val="00CF52D3"/>
    <w:rsid w:val="00CF5F8C"/>
    <w:rsid w:val="00D0074A"/>
    <w:rsid w:val="00D015DD"/>
    <w:rsid w:val="00D03865"/>
    <w:rsid w:val="00D055A3"/>
    <w:rsid w:val="00D2205A"/>
    <w:rsid w:val="00D27D5E"/>
    <w:rsid w:val="00D462D1"/>
    <w:rsid w:val="00D556E4"/>
    <w:rsid w:val="00D57FCF"/>
    <w:rsid w:val="00D61E31"/>
    <w:rsid w:val="00D714C2"/>
    <w:rsid w:val="00D71D65"/>
    <w:rsid w:val="00D75D0F"/>
    <w:rsid w:val="00D76F9D"/>
    <w:rsid w:val="00D872DA"/>
    <w:rsid w:val="00D91B5F"/>
    <w:rsid w:val="00D95CD3"/>
    <w:rsid w:val="00D978EE"/>
    <w:rsid w:val="00DA2973"/>
    <w:rsid w:val="00DB1682"/>
    <w:rsid w:val="00DC0B89"/>
    <w:rsid w:val="00DF41B5"/>
    <w:rsid w:val="00DF5667"/>
    <w:rsid w:val="00E03275"/>
    <w:rsid w:val="00E13964"/>
    <w:rsid w:val="00E224F0"/>
    <w:rsid w:val="00E3447D"/>
    <w:rsid w:val="00E400E8"/>
    <w:rsid w:val="00E41FE0"/>
    <w:rsid w:val="00E53373"/>
    <w:rsid w:val="00E60206"/>
    <w:rsid w:val="00E63BBD"/>
    <w:rsid w:val="00E70B2D"/>
    <w:rsid w:val="00E70EA3"/>
    <w:rsid w:val="00E73355"/>
    <w:rsid w:val="00E74B40"/>
    <w:rsid w:val="00E8325E"/>
    <w:rsid w:val="00E86C3C"/>
    <w:rsid w:val="00E96DB4"/>
    <w:rsid w:val="00EA6FB8"/>
    <w:rsid w:val="00EB2B01"/>
    <w:rsid w:val="00EB490F"/>
    <w:rsid w:val="00EC5A09"/>
    <w:rsid w:val="00ED3624"/>
    <w:rsid w:val="00EF11CE"/>
    <w:rsid w:val="00EF185D"/>
    <w:rsid w:val="00EF7580"/>
    <w:rsid w:val="00F00DCF"/>
    <w:rsid w:val="00F0314D"/>
    <w:rsid w:val="00F0383C"/>
    <w:rsid w:val="00F143B4"/>
    <w:rsid w:val="00F31F18"/>
    <w:rsid w:val="00F3491E"/>
    <w:rsid w:val="00F52058"/>
    <w:rsid w:val="00F56383"/>
    <w:rsid w:val="00F57492"/>
    <w:rsid w:val="00F57755"/>
    <w:rsid w:val="00F62B20"/>
    <w:rsid w:val="00F63A93"/>
    <w:rsid w:val="00F735A1"/>
    <w:rsid w:val="00F757C1"/>
    <w:rsid w:val="00F9523E"/>
    <w:rsid w:val="00FA0217"/>
    <w:rsid w:val="00FA25A4"/>
    <w:rsid w:val="00FA653C"/>
    <w:rsid w:val="00FA6FA5"/>
    <w:rsid w:val="00FB3894"/>
    <w:rsid w:val="00FC514D"/>
    <w:rsid w:val="00FC5921"/>
    <w:rsid w:val="00FC5E33"/>
    <w:rsid w:val="00FC6252"/>
    <w:rsid w:val="00FD7FE4"/>
    <w:rsid w:val="00FE1540"/>
    <w:rsid w:val="00F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507A"/>
  <w15:chartTrackingRefBased/>
  <w15:docId w15:val="{AC96F924-BBDC-4AAB-A4BC-B3042F33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3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3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143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4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1B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E4E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1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2E1"/>
  </w:style>
  <w:style w:type="paragraph" w:styleId="Footer">
    <w:name w:val="footer"/>
    <w:basedOn w:val="Normal"/>
    <w:link w:val="FooterChar"/>
    <w:uiPriority w:val="99"/>
    <w:unhideWhenUsed/>
    <w:rsid w:val="000E1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2E1"/>
  </w:style>
  <w:style w:type="paragraph" w:customStyle="1" w:styleId="EndNoteBibliography">
    <w:name w:val="EndNote Bibliography"/>
    <w:basedOn w:val="Normal"/>
    <w:link w:val="EndNoteBibliographyChar"/>
    <w:rsid w:val="00D61E31"/>
    <w:pPr>
      <w:spacing w:line="240" w:lineRule="auto"/>
    </w:pPr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D61E3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2695</Words>
  <Characters>15368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Elul</dc:creator>
  <cp:keywords/>
  <dc:description/>
  <cp:lastModifiedBy>Elul, Deena C</cp:lastModifiedBy>
  <cp:revision>29</cp:revision>
  <dcterms:created xsi:type="dcterms:W3CDTF">2021-04-05T04:21:00Z</dcterms:created>
  <dcterms:modified xsi:type="dcterms:W3CDTF">2021-04-15T16:46:00Z</dcterms:modified>
</cp:coreProperties>
</file>