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HHT-Forest</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L’ontologie HHT-Forest est une ontologie se basant sur HHT, permettant de représenter plus précisément un certain type de territoire, les boisements. Elle permet également de représenter les caractéristiques principales des boisements, ainsi que les procès les concernant, en se basant sur HHT-Claim, et les acteurs agissant sur ses territoires.</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Les boisements sont définis comme des sous-classes de la classe HHT:Unit, et possèdent également des versions </w:t>
      </w:r>
      <w:r w:rsidDel="00000000" w:rsidR="00000000" w:rsidRPr="00000000">
        <w:rPr>
          <w:rtl w:val="0"/>
        </w:rPr>
        <w:t xml:space="preserve">boisementVersion</w:t>
      </w:r>
      <w:r w:rsidDel="00000000" w:rsidR="00000000" w:rsidRPr="00000000">
        <w:rPr>
          <w:rtl w:val="0"/>
        </w:rPr>
        <w:t xml:space="preserve">. Dans cette ontologie, les boisements sont donc considérés comme des unités territoriales dans le sens </w:t>
      </w:r>
      <w:r w:rsidDel="00000000" w:rsidR="00000000" w:rsidRPr="00000000">
        <w:rPr>
          <w:rtl w:val="0"/>
        </w:rPr>
        <w:t xml:space="preserve">d’HHT</w:t>
      </w:r>
      <w:r w:rsidDel="00000000" w:rsidR="00000000" w:rsidRPr="00000000">
        <w:rPr>
          <w:rtl w:val="0"/>
        </w:rPr>
        <w:t xml:space="preserve">, et peuvent être reliés à divers HHT:Level, comme par exemple la Maîtrise Judiciaire à laquelle est reliée le boisement.</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Boisement :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HHT-Forest permet de définir le ou les aménagements forestiers mis en place dans la forêt, ainsi que les dégradations qui y ont été commises et les peuplements qui composent cette forêt, mais également les procédures de gestion forestière qui y sont mises en place.</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Aménagement forestier : un ensemble d'actions mis en place transformant l'espace forestier pour atteindre des objectifs tels que la production de bois.</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Dégradation : processus de changement caractérisé par une altération négative de l'état ou de la qualité d'un boisement, par exemple un incendie survenue dans le boisement, ou la surutilisation des bois par les communautés alentour.</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Peuplement forestier : qualité d'un boisement situé dans une zone forestière, caractérisant l'une des essences d'arbres ou d'arbustes de ce boisement, leur âge, et leur disposition spatiale.</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Procédure de gestion forestière : une procédure caractérisée par un ensemble ordonné d'étapes ou de principes, pour spécifier les règles de coupe ou de semage appliquées au sein du boisement.</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Ces classes nous permettent d’obtenir un état des lieux d’un boisement, nous permettant d’obtenir des informations intéressantes sur son état, son utilité, les essences produites et récoltées ainsi que la façon de procéder des acteurs agissant dans ce boisement.</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On pourrait ainsi, si l’on représente une forêt à différentes périodes de temporalité, suivre l’évolution de la fonction et de l’utilité de la forêt pour les communautés alentour et pour le pouvoir en place. On pourrait également l’utiliser pour suivre les espèces produites et récoltées à différentes périodes, et leur spatialisation sur le territoire observé.</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On peut également représenter les propriétaires du boisement, et constater l’évolution de la propriété de certains acteurs sur les forêts. On pourrait par exemple suivre le rattachement des forêts au domaine royal, ou voir l’évolution du nombre de forêts appartenant à des particuliers ou des ecclésiastiques. </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Acteurs : </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HHT-Forest permet également de représenter les acteurs agissant dans les boisements. Basé sur la classe E39_Actor de CIDOC-CRM, elle représente aussi bien des personnes physiques que des communautés d’habitants. </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Les acteurs peuvent posséder des droits spécifiques concernant certains boisements, leur permettant d’effectuer certaines actions dans ce boisement (chasse, récolte ou vente de bois, faire </w:t>
      </w:r>
      <w:r w:rsidDel="00000000" w:rsidR="00000000" w:rsidRPr="00000000">
        <w:rPr>
          <w:rtl w:val="0"/>
        </w:rPr>
        <w:t xml:space="preserve">paître</w:t>
      </w:r>
      <w:r w:rsidDel="00000000" w:rsidR="00000000" w:rsidRPr="00000000">
        <w:rPr>
          <w:rtl w:val="0"/>
        </w:rPr>
        <w:t xml:space="preserve"> certains animaux). Ses droits sont définis comme des </w:t>
      </w:r>
      <w:r w:rsidDel="00000000" w:rsidR="00000000" w:rsidRPr="00000000">
        <w:rPr>
          <w:rtl w:val="0"/>
        </w:rPr>
        <w:t xml:space="preserve">forest</w:t>
      </w:r>
      <w:r w:rsidDel="00000000" w:rsidR="00000000" w:rsidRPr="00000000">
        <w:rPr>
          <w:rtl w:val="0"/>
        </w:rPr>
        <w:t xml:space="preserve">:</w:t>
      </w:r>
      <w:r w:rsidDel="00000000" w:rsidR="00000000" w:rsidRPr="00000000">
        <w:rPr>
          <w:rtl w:val="0"/>
        </w:rPr>
        <w:t xml:space="preserve">droitUsage</w:t>
      </w:r>
      <w:r w:rsidDel="00000000" w:rsidR="00000000" w:rsidRPr="00000000">
        <w:rPr>
          <w:rtl w:val="0"/>
        </w:rPr>
        <w:t xml:space="preserve">.</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Les acteurs peuvent également avoir des offices et des métiers reliés à certains boisements, décrivant leur rôle dans la gestion de la forêt.</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Procès : </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Enfin, HHT-Forest permet de décrire les procès concernant les boisements et leurs conséquences. En se basant sur la classe HHT:Claim, elle permet de définir les différentes parties du procès, la raison et la sentence du procès, ainsi que les boisements concernés par cette procédure.</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Les procès ont diverses conséquences sur les acteurs, les droits d'usage de ces derniers peuvent être modifiés, conservés ou supprimés. Ils peuvent également être démis de la fonction qu'ils occupaient précédemment.</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Les procès indiquent également un changement sur les boisements, qui voient leur personnel forestier varier, mais également le possible changement de leur procédure de gestion. Des aménagements supplémentaires peuvent être demandés en finalité du procès. </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Certains procès entraînent aussi un changement de maîtrise judiciaire, durant la réformation de Froidour par exemple, le nombre de maîtrises judiciaires régissant les boisements du midi ont doublé, entraînant de nombreux changements de maîtrise des boisements existants.</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HHT-Forest permet donc de définir les boisements comme des territoires, de représenter les informations importantes concernant son utilisation, mais également de représenter les acteurs liés à ses boisements et leur rôle. De plus, on peut représenter les procès spécifiques aux boisements et leurs conséquences sur les acteurs et les boisements.</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L’ontologie permet donc de représenter des territoires forestiers, et de retracer l’évolution de ceux-ci à travers le temps.</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Ontologies existantes traitant de la forêt : </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Forest Observatory Ontology : </w:t>
      </w:r>
      <w:hyperlink r:id="rId6">
        <w:r w:rsidDel="00000000" w:rsidR="00000000" w:rsidRPr="00000000">
          <w:rPr>
            <w:color w:val="1155cc"/>
            <w:u w:val="single"/>
            <w:rtl w:val="0"/>
          </w:rPr>
          <w:t xml:space="preserve">https://naeima.github.io/foo_html/OnToology/index.ttl/documentation/index-en.html</w:t>
        </w:r>
      </w:hyperlink>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Décrit les observations des animaux dans les forêts détectés par des capteurs</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Ontomedia Space Representation :</w:t>
      </w:r>
    </w:p>
    <w:p w:rsidR="00000000" w:rsidDel="00000000" w:rsidP="00000000" w:rsidRDefault="00000000" w:rsidRPr="00000000" w14:paraId="0000003C">
      <w:pPr>
        <w:jc w:val="left"/>
        <w:rPr/>
      </w:pPr>
      <w:hyperlink r:id="rId7">
        <w:r w:rsidDel="00000000" w:rsidR="00000000" w:rsidRPr="00000000">
          <w:rPr>
            <w:color w:val="1155cc"/>
            <w:u w:val="single"/>
            <w:rtl w:val="0"/>
          </w:rPr>
          <w:t xml:space="preserve">https://lov.linkeddata.es/dataset/lov/vocabs/osr</w:t>
        </w:r>
      </w:hyperlink>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Représente les différents types d’espace et définit la forêt, mais n’entre pas dans le détail la composant. </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LinkedGeoData Ontology : </w:t>
      </w:r>
    </w:p>
    <w:p w:rsidR="00000000" w:rsidDel="00000000" w:rsidP="00000000" w:rsidRDefault="00000000" w:rsidRPr="00000000" w14:paraId="00000040">
      <w:pPr>
        <w:jc w:val="left"/>
        <w:rPr/>
      </w:pPr>
      <w:hyperlink r:id="rId8">
        <w:r w:rsidDel="00000000" w:rsidR="00000000" w:rsidRPr="00000000">
          <w:rPr>
            <w:color w:val="1155cc"/>
            <w:u w:val="single"/>
            <w:rtl w:val="0"/>
          </w:rPr>
          <w:t xml:space="preserve">https://lov.linkeddata.es/dataset/lov/vocabs/lgdo</w:t>
        </w:r>
      </w:hyperlink>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Dérive les concepts de OpenStreetMap, mais ne détaille pas les caractéristiques propres aux boisements</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D’autres ontologies géographiques existent, représentant la forêt comme un espace, mais ne détaillant pas sa composition ou ses caractéristiques propres</w:t>
      </w:r>
    </w:p>
    <w:p w:rsidR="00000000" w:rsidDel="00000000" w:rsidP="00000000" w:rsidRDefault="00000000" w:rsidRPr="00000000" w14:paraId="00000044">
      <w:pPr>
        <w:jc w:val="left"/>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aeima.github.io/foo_html/OnToology/index.ttl/documentation/index-en.html" TargetMode="External"/><Relationship Id="rId7" Type="http://schemas.openxmlformats.org/officeDocument/2006/relationships/hyperlink" Target="https://lov.linkeddata.es/dataset/lov/vocabs/osr" TargetMode="External"/><Relationship Id="rId8" Type="http://schemas.openxmlformats.org/officeDocument/2006/relationships/hyperlink" Target="https://lov.linkeddata.es/dataset/lov/vocabs/lg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