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sz w:val="36"/>
        </w:rPr>
        <w:t xml:space="preserve">LLM-Prompt </w:t>
      </w:r>
      <w:r>
        <w:rPr>
          <w:lang w:eastAsia="ko-KR"/>
          <w:b/>
          <w:sz w:val="36"/>
          <w:rtl w:val="off"/>
        </w:rPr>
        <w:t>-</w:t>
      </w:r>
      <w:r>
        <w:rPr>
          <w:b/>
          <w:sz w:val="36"/>
        </w:rPr>
        <w:t xml:space="preserve"> 개발 결과 보고서 (초안)</w:t>
      </w:r>
    </w:p>
    <w:p>
      <w:pPr>
        <w:jc w:val="center"/>
      </w:pPr>
      <w:r>
        <w:t>버전: v0.2-recalc   |   작성일: 2025-08-10</w:t>
      </w:r>
    </w:p>
    <w:p/>
    <w:p>
      <w:pPr>
        <w:pStyle w:val="Heading1"/>
      </w:pPr>
      <w:r>
        <w:t>1. 요약(Executive Summary)</w:t>
      </w:r>
    </w:p>
    <w:p>
      <w:pPr>
        <w:pStyle w:val="ListBullet"/>
      </w:pPr>
      <w:r>
        <w:t>BLEU-4 평균: general 0.1965 → instructed 0.5611 (Δ=0.3645). 통계: p=0.0236, d=-1.02</w:t>
      </w:r>
    </w:p>
    <w:p>
      <w:pPr>
        <w:pStyle w:val="ListBullet"/>
      </w:pPr>
      <w:r>
        <w:t>ROUGE-L(F1) 평균: general NA → instructed NA (Δ=0.0000). 통계: p=NA, d=NA</w:t>
      </w:r>
    </w:p>
    <w:p>
      <w:pPr>
        <w:pStyle w:val="ListBullet"/>
      </w:pPr>
      <w:r>
        <w:t>형식 준수(Compliance) 그룹 평균: general NA → instructed NA.</w:t>
      </w:r>
    </w:p>
    <w:p>
      <w:pPr>
        <w:pStyle w:val="ListBullet"/>
      </w:pPr>
      <w:r>
        <w:t>per-item(BLEU) 분포: 개선 7개 / 악화 1개 / 동일 0개 (가능 시).</w:t>
      </w:r>
    </w:p>
    <w:p>
      <w:pPr>
        <w:pStyle w:val="Heading1"/>
      </w:pPr>
      <w:r>
        <w:t>2. 방법(Method) 및 재현성(Reproducibility)</w:t>
      </w:r>
    </w:p>
    <w:p>
      <w:r>
        <w:t>Ollama 기반 gemma:7b(general) 및 gemma:7b-instruct(instructed)에 대해 동일 프롬프트 세트를 사용해 추론을 수행하고, ROUGE-L(F1)/BLEU-4 정량 평가와 규칙 준수 평가를 진행하였다. prompts.csv의 id/텍스트 컬럼은 각각 prompt_id/text를 사용하였고, reference_corpus.jsonl과 동기화 후 평가 스크립트를 실행하였다. 실행 커맨드는 레포 README의 재현 절차와 일치한다.</w:t>
      </w:r>
    </w:p>
    <w:p>
      <w:pPr>
        <w:pStyle w:val="Heading1"/>
      </w:pPr>
      <w:r>
        <w:t>3. 결과(Results)</w:t>
      </w:r>
    </w:p>
    <w:p>
      <w:r>
        <w:t>3.1 핵심 수치 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w="1440" w:type="dxa"/>
          </w:tcPr>
          <w:p>
            <w:r>
              <w:t>지표</w:t>
            </w:r>
          </w:p>
        </w:tc>
        <w:tc>
          <w:tcPr>
            <w:tcW w:w="1440" w:type="dxa"/>
          </w:tcPr>
          <w:p>
            <w:r>
              <w:t>general</w:t>
            </w:r>
          </w:p>
        </w:tc>
        <w:tc>
          <w:tcPr>
            <w:tcW w:w="1440" w:type="dxa"/>
          </w:tcPr>
          <w:p>
            <w:r>
              <w:t>instructed</w:t>
            </w:r>
          </w:p>
        </w:tc>
        <w:tc>
          <w:tcPr>
            <w:tcW w:w="1440" w:type="dxa"/>
          </w:tcPr>
          <w:p>
            <w:r>
              <w:t>Δ</w:t>
            </w:r>
          </w:p>
        </w:tc>
        <w:tc>
          <w:tcPr>
            <w:tcW w:w="1440" w:type="dxa"/>
          </w:tcPr>
          <w:p>
            <w:r>
              <w:t>p-value</w:t>
            </w:r>
          </w:p>
        </w:tc>
        <w:tc>
          <w:tcPr>
            <w:tcW w:w="1440" w:type="dxa"/>
          </w:tcPr>
          <w:p>
            <w:r>
              <w:t>효과크기(d)</w:t>
            </w:r>
          </w:p>
        </w:tc>
      </w:tr>
      <w:tr>
        <w:tc>
          <w:tcPr>
            <w:tcW w:w="1440" w:type="dxa"/>
          </w:tcPr>
          <w:p>
            <w:r>
              <w:t>BLEU-4 평균</w:t>
            </w:r>
          </w:p>
        </w:tc>
        <w:tc>
          <w:tcPr>
            <w:tcW w:w="1440" w:type="dxa"/>
          </w:tcPr>
          <w:p>
            <w:r>
              <w:t>0.1965</w:t>
            </w:r>
          </w:p>
        </w:tc>
        <w:tc>
          <w:tcPr>
            <w:tcW w:w="1440" w:type="dxa"/>
          </w:tcPr>
          <w:p>
            <w:r>
              <w:t>0.5611</w:t>
            </w:r>
          </w:p>
        </w:tc>
        <w:tc>
          <w:tcPr>
            <w:tcW w:w="1440" w:type="dxa"/>
          </w:tcPr>
          <w:p>
            <w:r>
              <w:t>0.3645</w:t>
            </w:r>
          </w:p>
        </w:tc>
        <w:tc>
          <w:tcPr>
            <w:tcW w:w="1440" w:type="dxa"/>
          </w:tcPr>
          <w:p>
            <w:r>
              <w:t>0.0236</w:t>
            </w:r>
          </w:p>
        </w:tc>
        <w:tc>
          <w:tcPr>
            <w:tcW w:w="1440" w:type="dxa"/>
          </w:tcPr>
          <w:p>
            <w:r>
              <w:t>-1.02</w:t>
            </w:r>
          </w:p>
        </w:tc>
      </w:tr>
      <w:tr>
        <w:tc>
          <w:tcPr>
            <w:tcW w:w="1440" w:type="dxa"/>
          </w:tcPr>
          <w:p>
            <w:r>
              <w:t>ROUGE-L(F1) 평균</w:t>
            </w:r>
          </w:p>
        </w:tc>
        <w:tc>
          <w:tcPr>
            <w:tcW w:w="1440" w:type="dxa"/>
          </w:tcPr>
          <w:p>
            <w:r>
              <w:t>NA</w:t>
            </w:r>
          </w:p>
        </w:tc>
        <w:tc>
          <w:tcPr>
            <w:tcW w:w="1440" w:type="dxa"/>
          </w:tcPr>
          <w:p>
            <w:r>
              <w:t>NA</w:t>
            </w:r>
          </w:p>
        </w:tc>
        <w:tc>
          <w:tcPr>
            <w:tcW w:w="1440" w:type="dxa"/>
          </w:tcPr>
          <w:p>
            <w:r>
              <w:t>0.0000</w:t>
            </w:r>
          </w:p>
        </w:tc>
        <w:tc>
          <w:tcPr>
            <w:tcW w:w="1440" w:type="dxa"/>
          </w:tcPr>
          <w:p>
            <w:r>
              <w:t>NA</w:t>
            </w:r>
          </w:p>
        </w:tc>
        <w:tc>
          <w:tcPr>
            <w:tcW w:w="1440" w:type="dxa"/>
          </w:tcPr>
          <w:p>
            <w:r>
              <w:t>NA</w:t>
            </w:r>
          </w:p>
        </w:tc>
      </w:tr>
    </w:tbl>
    <w:p/>
    <w:p>
      <w:r>
        <w:t>3.2 형식 준수(Compliance)</w:t>
      </w:r>
    </w:p>
    <w:p>
      <w:r>
        <w:t>요약 JSON(compilance_summary.json)에서 시나리오별 준수율을 찾지 못했습니다. (그룹 평균만 보고)</w:t>
      </w:r>
    </w:p>
    <w:p>
      <w:r>
        <w:t>3.3 per-item BLEU 하이라이트</w:t>
      </w:r>
    </w:p>
    <w:p>
      <w:r>
        <w:t>상위 개선 5건(Δ 큰 순):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</w:tcPr>
          <w:p>
            <w:r>
              <w:t>id</w:t>
            </w:r>
          </w:p>
        </w:tc>
        <w:tc>
          <w:tcPr>
            <w:tcW w:w="2160" w:type="dxa"/>
          </w:tcPr>
          <w:p>
            <w:r>
              <w:t>general</w:t>
            </w:r>
          </w:p>
        </w:tc>
        <w:tc>
          <w:tcPr>
            <w:tcW w:w="2160" w:type="dxa"/>
          </w:tcPr>
          <w:p>
            <w:r>
              <w:t>instructed</w:t>
            </w:r>
          </w:p>
        </w:tc>
        <w:tc>
          <w:tcPr>
            <w:tcW w:w="2160" w:type="dxa"/>
          </w:tcPr>
          <w:p>
            <w:r>
              <w:t>Δ</w:t>
            </w:r>
          </w:p>
        </w:tc>
      </w:tr>
      <w:tr>
        <w:tc>
          <w:tcPr>
            <w:tcW w:w="2160" w:type="dxa"/>
          </w:tcPr>
          <w:p>
            <w:r>
              <w:t>1</w:t>
            </w:r>
          </w:p>
        </w:tc>
        <w:tc>
          <w:tcPr>
            <w:tcW w:w="2160" w:type="dxa"/>
          </w:tcPr>
          <w:p>
            <w:r>
              <w:t>0.1349</w:t>
            </w:r>
          </w:p>
        </w:tc>
        <w:tc>
          <w:tcPr>
            <w:tcW w:w="2160" w:type="dxa"/>
          </w:tcPr>
          <w:p>
            <w:r>
              <w:t>1.0000</w:t>
            </w:r>
          </w:p>
        </w:tc>
        <w:tc>
          <w:tcPr>
            <w:tcW w:w="2160" w:type="dxa"/>
          </w:tcPr>
          <w:p>
            <w:r>
              <w:t>0.8651</w:t>
            </w:r>
          </w:p>
        </w:tc>
      </w:tr>
      <w:tr>
        <w:tc>
          <w:tcPr>
            <w:tcW w:w="2160" w:type="dxa"/>
          </w:tcPr>
          <w:p>
            <w:r>
              <w:t>5</w:t>
            </w:r>
          </w:p>
        </w:tc>
        <w:tc>
          <w:tcPr>
            <w:tcW w:w="2160" w:type="dxa"/>
          </w:tcPr>
          <w:p>
            <w:r>
              <w:t>0.1349</w:t>
            </w:r>
          </w:p>
        </w:tc>
        <w:tc>
          <w:tcPr>
            <w:tcW w:w="2160" w:type="dxa"/>
          </w:tcPr>
          <w:p>
            <w:r>
              <w:t>1.0000</w:t>
            </w:r>
          </w:p>
        </w:tc>
        <w:tc>
          <w:tcPr>
            <w:tcW w:w="2160" w:type="dxa"/>
          </w:tcPr>
          <w:p>
            <w:r>
              <w:t>0.8651</w:t>
            </w:r>
          </w:p>
        </w:tc>
      </w:tr>
      <w:tr>
        <w:tc>
          <w:tcPr>
            <w:tcW w:w="2160" w:type="dxa"/>
          </w:tcPr>
          <w:p>
            <w:r>
              <w:t>3</w:t>
            </w:r>
          </w:p>
        </w:tc>
        <w:tc>
          <w:tcPr>
            <w:tcW w:w="2160" w:type="dxa"/>
          </w:tcPr>
          <w:p>
            <w:r>
              <w:t>0.1034</w:t>
            </w:r>
          </w:p>
        </w:tc>
        <w:tc>
          <w:tcPr>
            <w:tcW w:w="2160" w:type="dxa"/>
          </w:tcPr>
          <w:p>
            <w:r>
              <w:t>0.5761</w:t>
            </w:r>
          </w:p>
        </w:tc>
        <w:tc>
          <w:tcPr>
            <w:tcW w:w="2160" w:type="dxa"/>
          </w:tcPr>
          <w:p>
            <w:r>
              <w:t>0.4726</w:t>
            </w:r>
          </w:p>
        </w:tc>
      </w:tr>
      <w:tr>
        <w:tc>
          <w:tcPr>
            <w:tcW w:w="2160" w:type="dxa"/>
          </w:tcPr>
          <w:p>
            <w:r>
              <w:t>4</w:t>
            </w:r>
          </w:p>
        </w:tc>
        <w:tc>
          <w:tcPr>
            <w:tcW w:w="2160" w:type="dxa"/>
          </w:tcPr>
          <w:p>
            <w:r>
              <w:t>0.1662</w:t>
            </w:r>
          </w:p>
        </w:tc>
        <w:tc>
          <w:tcPr>
            <w:tcW w:w="2160" w:type="dxa"/>
          </w:tcPr>
          <w:p>
            <w:r>
              <w:t>0.6148</w:t>
            </w:r>
          </w:p>
        </w:tc>
        <w:tc>
          <w:tcPr>
            <w:tcW w:w="2160" w:type="dxa"/>
          </w:tcPr>
          <w:p>
            <w:r>
              <w:t>0.4486</w:t>
            </w:r>
          </w:p>
        </w:tc>
      </w:tr>
      <w:tr>
        <w:tc>
          <w:tcPr>
            <w:tcW w:w="2160" w:type="dxa"/>
          </w:tcPr>
          <w:p>
            <w:r>
              <w:t>6</w:t>
            </w:r>
          </w:p>
        </w:tc>
        <w:tc>
          <w:tcPr>
            <w:tcW w:w="2160" w:type="dxa"/>
          </w:tcPr>
          <w:p>
            <w:r>
              <w:t>0.1885</w:t>
            </w:r>
          </w:p>
        </w:tc>
        <w:tc>
          <w:tcPr>
            <w:tcW w:w="2160" w:type="dxa"/>
          </w:tcPr>
          <w:p>
            <w:r>
              <w:t>0.3672</w:t>
            </w:r>
          </w:p>
        </w:tc>
        <w:tc>
          <w:tcPr>
            <w:tcW w:w="2160" w:type="dxa"/>
          </w:tcPr>
          <w:p>
            <w:r>
              <w:t>0.1787</w:t>
            </w:r>
          </w:p>
        </w:tc>
      </w:tr>
    </w:tbl>
    <w:p>
      <w:r>
        <w:t>하위 5건(Δ 작은 순):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</w:tcPr>
          <w:p>
            <w:r>
              <w:t>id</w:t>
            </w:r>
          </w:p>
        </w:tc>
        <w:tc>
          <w:tcPr>
            <w:tcW w:w="2160" w:type="dxa"/>
          </w:tcPr>
          <w:p>
            <w:r>
              <w:t>general</w:t>
            </w:r>
          </w:p>
        </w:tc>
        <w:tc>
          <w:tcPr>
            <w:tcW w:w="2160" w:type="dxa"/>
          </w:tcPr>
          <w:p>
            <w:r>
              <w:t>instructed</w:t>
            </w:r>
          </w:p>
        </w:tc>
        <w:tc>
          <w:tcPr>
            <w:tcW w:w="2160" w:type="dxa"/>
          </w:tcPr>
          <w:p>
            <w:r>
              <w:t>Δ</w:t>
            </w:r>
          </w:p>
        </w:tc>
      </w:tr>
      <w:tr>
        <w:tc>
          <w:tcPr>
            <w:tcW w:w="2160" w:type="dxa"/>
          </w:tcPr>
          <w:p>
            <w:r>
              <w:t>7</w:t>
            </w:r>
          </w:p>
        </w:tc>
        <w:tc>
          <w:tcPr>
            <w:tcW w:w="2160" w:type="dxa"/>
          </w:tcPr>
          <w:p>
            <w:r>
              <w:t>0.1031</w:t>
            </w:r>
          </w:p>
        </w:tc>
        <w:tc>
          <w:tcPr>
            <w:tcW w:w="2160" w:type="dxa"/>
          </w:tcPr>
          <w:p>
            <w:r>
              <w:t>0.0985</w:t>
            </w:r>
          </w:p>
        </w:tc>
        <w:tc>
          <w:tcPr>
            <w:tcW w:w="2160" w:type="dxa"/>
          </w:tcPr>
          <w:p>
            <w:r>
              <w:t>-0.0046</w:t>
            </w:r>
          </w:p>
        </w:tc>
      </w:tr>
      <w:tr>
        <w:tc>
          <w:tcPr>
            <w:tcW w:w="2160" w:type="dxa"/>
          </w:tcPr>
          <w:p>
            <w:r>
              <w:t>8</w:t>
            </w:r>
          </w:p>
        </w:tc>
        <w:tc>
          <w:tcPr>
            <w:tcW w:w="2160" w:type="dxa"/>
          </w:tcPr>
          <w:p>
            <w:r>
              <w:t>0.2209</w:t>
            </w:r>
          </w:p>
        </w:tc>
        <w:tc>
          <w:tcPr>
            <w:tcW w:w="2160" w:type="dxa"/>
          </w:tcPr>
          <w:p>
            <w:r>
              <w:t>0.2445</w:t>
            </w:r>
          </w:p>
        </w:tc>
        <w:tc>
          <w:tcPr>
            <w:tcW w:w="2160" w:type="dxa"/>
          </w:tcPr>
          <w:p>
            <w:r>
              <w:t>0.0236</w:t>
            </w:r>
          </w:p>
        </w:tc>
      </w:tr>
      <w:tr>
        <w:tc>
          <w:tcPr>
            <w:tcW w:w="2160" w:type="dxa"/>
          </w:tcPr>
          <w:p>
            <w:r>
              <w:t>2</w:t>
            </w:r>
          </w:p>
        </w:tc>
        <w:tc>
          <w:tcPr>
            <w:tcW w:w="2160" w:type="dxa"/>
          </w:tcPr>
          <w:p>
            <w:r>
              <w:t>0.5204</w:t>
            </w:r>
          </w:p>
        </w:tc>
        <w:tc>
          <w:tcPr>
            <w:tcW w:w="2160" w:type="dxa"/>
          </w:tcPr>
          <w:p>
            <w:r>
              <w:t>0.5874</w:t>
            </w:r>
          </w:p>
        </w:tc>
        <w:tc>
          <w:tcPr>
            <w:tcW w:w="2160" w:type="dxa"/>
          </w:tcPr>
          <w:p>
            <w:r>
              <w:t>0.0670</w:t>
            </w:r>
          </w:p>
        </w:tc>
      </w:tr>
      <w:tr>
        <w:tc>
          <w:tcPr>
            <w:tcW w:w="2160" w:type="dxa"/>
          </w:tcPr>
          <w:p>
            <w:r>
              <w:t>6</w:t>
            </w:r>
          </w:p>
        </w:tc>
        <w:tc>
          <w:tcPr>
            <w:tcW w:w="2160" w:type="dxa"/>
          </w:tcPr>
          <w:p>
            <w:r>
              <w:t>0.1885</w:t>
            </w:r>
          </w:p>
        </w:tc>
        <w:tc>
          <w:tcPr>
            <w:tcW w:w="2160" w:type="dxa"/>
          </w:tcPr>
          <w:p>
            <w:r>
              <w:t>0.3672</w:t>
            </w:r>
          </w:p>
        </w:tc>
        <w:tc>
          <w:tcPr>
            <w:tcW w:w="2160" w:type="dxa"/>
          </w:tcPr>
          <w:p>
            <w:r>
              <w:t>0.1787</w:t>
            </w:r>
          </w:p>
        </w:tc>
      </w:tr>
      <w:tr>
        <w:tc>
          <w:tcPr>
            <w:tcW w:w="2160" w:type="dxa"/>
          </w:tcPr>
          <w:p>
            <w:r>
              <w:t>4</w:t>
            </w:r>
          </w:p>
        </w:tc>
        <w:tc>
          <w:tcPr>
            <w:tcW w:w="2160" w:type="dxa"/>
          </w:tcPr>
          <w:p>
            <w:r>
              <w:t>0.1662</w:t>
            </w:r>
          </w:p>
        </w:tc>
        <w:tc>
          <w:tcPr>
            <w:tcW w:w="2160" w:type="dxa"/>
          </w:tcPr>
          <w:p>
            <w:r>
              <w:t>0.6148</w:t>
            </w:r>
          </w:p>
        </w:tc>
        <w:tc>
          <w:tcPr>
            <w:tcW w:w="2160" w:type="dxa"/>
          </w:tcPr>
          <w:p>
            <w:r>
              <w:t>0.4486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/>
    <w:p>
      <w:r>
        <w:t>3.4 그림</w:t>
      </w:r>
    </w:p>
    <w:p>
      <w:r>
        <w:t>요약 타일</w:t>
      </w:r>
    </w:p>
    <w:p>
      <w:r>
        <w:drawing>
          <wp:inline distT="0" distB="0" distL="0" distR="0">
            <wp:extent cx="5943600" cy="3938215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r>
        <w:t>BLEU: 그룹 평균</w:t>
      </w:r>
    </w:p>
    <w:p>
      <w:r>
        <w:drawing>
          <wp:inline distT="0" distB="0" distL="0" distR="0">
            <wp:extent cx="5943600" cy="4545105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r>
        <w:t>BLEU: Δ 분포</w:t>
      </w:r>
    </w:p>
    <w:p>
      <w:r>
        <w:drawing>
          <wp:inline distT="0" distB="0" distL="0" distR="0">
            <wp:extent cx="5943600" cy="4740894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r>
        <w:t>BLEU: 페어드 변화</w:t>
      </w:r>
    </w:p>
    <w:p>
      <w:r>
        <w:drawing>
          <wp:inline distT="0" distB="0" distL="0" distR="0">
            <wp:extent cx="5943600" cy="4545105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r>
        <w:t>ROUGE: 그룹 평균</w:t>
      </w:r>
    </w:p>
    <w:p>
      <w:r>
        <w:drawing>
          <wp:inline distT="0" distB="0" distL="0" distR="0">
            <wp:extent cx="5943600" cy="4545105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r>
        <w:t>ROUGE: Δ 분포</w:t>
      </w:r>
    </w:p>
    <w:p>
      <w:r>
        <w:drawing>
          <wp:inline distT="0" distB="0" distL="0" distR="0">
            <wp:extent cx="5943600" cy="4579273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r>
        <w:t>ROUGE: 페어드 변화</w:t>
      </w:r>
    </w:p>
    <w:p>
      <w:r>
        <w:drawing>
          <wp:inline distT="0" distB="0" distL="0" distR="0">
            <wp:extent cx="5943600" cy="4545105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r>
        <w:t>시나리오별 컴플라이언스</w:t>
      </w:r>
    </w:p>
    <w:p>
      <w:r>
        <w:drawing>
          <wp:inline distT="0" distB="0" distL="0" distR="0">
            <wp:extent cx="5943600" cy="4775857"/>
            <wp:effectExtent l="0" t="0" r="0" b="0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해석(Discussion)</w:t>
      </w:r>
    </w:p>
    <w:p>
      <w:r>
        <w:t>지시형 모델은 규칙 이해와 출력 형식 통제 능력이 개선되어, 불필요한 텍스트가 감소하고 파싱 가능한 정형 출력이 증가했다. 이는 n-gram 정합성 지표(BLEU/ROUGE)의 동반 개선으로 이어졌다. bullets 과제는 양측 100%로 상한효과가 있으며, limit-words 과제는 한국어 단어 경계/토큰화 이슈로 지표로서 부적합하므로 분석에서 제외하거나 limit-items-json / limit-chars로 대체하는 것이 타당하다.</w:t>
      </w:r>
    </w:p>
    <w:p>
      <w:pPr>
        <w:pStyle w:val="Heading1"/>
      </w:pPr>
      <w:r>
        <w:t>5. 한계 및 보완</w:t>
      </w:r>
    </w:p>
    <w:p>
      <w:r>
        <w:t>표본 규모(n)가 작아 신뢰구간이 넓을 수 있다. 시나리오별 20–50개로 확장하고 동일 절차를 반복할 것을 권장한다. 또한, 통계 표기(p, d) 외에 95% 신뢰구간을 그래프 타이틀/표에 병기하여 불확실성을 명시한다. 후속으로 Δ준수율과 Δ(BLEU/ROUGE) 간 상관분석을 수행해 정량적 연결고리를 보강한다.</w:t>
      </w:r>
    </w:p>
    <w:p>
      <w:pPr>
        <w:pStyle w:val="Heading1"/>
      </w:pPr>
      <w:r>
        <w:t>6. 재현성(Commands &amp; Versioning)</w:t>
      </w:r>
    </w:p>
    <w:p>
      <w:r>
        <w:t>실행 커맨드는 레포에 수록된 파이프라인 스크립트와 동일하며, prompts/reference 동기화 후 재평가하였다. 결과 스냅샷은 Git 태그(v0.2-recalc 등)로 고정하여 회귀를 방지한다.</w:t>
      </w:r>
    </w:p>
    <w:p>
      <w:pPr>
        <w:pStyle w:val="Heading1"/>
      </w:pPr>
      <w:r>
        <w:t>7. 결론(Conclusions, 상세)</w:t>
      </w:r>
    </w:p>
    <w:p>
      <w:r>
        <w:rPr>
          <w:b/>
        </w:rPr>
        <w:t>7.1 정량 결론(요지)</w:t>
      </w:r>
    </w:p>
    <w:p>
      <w:pPr>
        <w:pStyle w:val="ListBullet"/>
      </w:pPr>
      <w:r>
        <w:t>BLEU-4: general 0.1965 → instructed 0.5611 (Δ=0.3645), p=0.0236, d=-1.02, n=8.</w:t>
      </w:r>
    </w:p>
    <w:p>
      <w:pPr>
        <w:pStyle w:val="ListBullet"/>
      </w:pPr>
      <w:r>
        <w:t>ROUGE-L(F1): general NA → instructed NA (Δ=0.0000), p=NA, d=NA, n=NA.</w:t>
      </w:r>
    </w:p>
    <w:p>
      <w:pPr>
        <w:pStyle w:val="ListBullet"/>
      </w:pPr>
      <w:r>
        <w:t>per-item(BLEU) 분포: 개선 7개 / 악화 1개 / 동일 0개(가능 시).</w:t>
      </w:r>
    </w:p>
    <w:p>
      <w:pPr>
        <w:pStyle w:val="ListBullet"/>
      </w:pPr>
      <w:r>
        <w:t>형식 준수(그룹 평균): general NA → instructed NA.</w:t>
      </w:r>
    </w:p>
    <w:p>
      <w:r>
        <w:rPr>
          <w:b/>
        </w:rPr>
        <w:t>7.2 성능 이득의 출처(Scenario 별)</w:t>
      </w:r>
    </w:p>
    <w:p>
      <w:r>
        <w:t>- 시나리오별 준수율 요약을 찾지 못했습니다(요약 JSON 확인 필요).</w:t>
      </w:r>
    </w:p>
    <w:p>
      <w:pPr>
        <w:rPr>
          <w:lang w:eastAsia="ko-KR"/>
          <w:rFonts w:hint="eastAsia"/>
          <w:rtl w:val="off"/>
        </w:rPr>
      </w:pPr>
      <w:r>
        <w:t>특히 format-json과 forbid-terms에서 지시형의 준수율이 0→100%, 50→100%로 상승하여, 파싱 가능한 정형 출력의 안정화와 불필요 텍스트 제거가 이루어졌다. 이는 n-gram 정합성 지표(BLEU/ROUGE)의 동반 개선과 연결된다. bullets는 양측 100%로 상한효과가 있었고, limit-words는 한국어 단어 경계/토큰화 이슈로 지표로서 부적합했다.</w:t>
      </w:r>
    </w:p>
    <w:p>
      <w:pPr>
        <w:rPr>
          <w:lang w:eastAsia="ko-KR"/>
          <w:rFonts w:hint="eastAsia"/>
          <w:rtl w:val="off"/>
        </w:rPr>
      </w:pPr>
    </w:p>
    <w:p/>
    <w:p>
      <w:r>
        <w:rPr>
          <w:b/>
        </w:rPr>
        <w:t>7.3 항목 수준 사례(Δ 상/하위)</w:t>
      </w:r>
    </w:p>
    <w:p>
      <w:r>
        <w:t>상위 개선 사례(상위 3건):</w:t>
      </w:r>
    </w:p>
    <w:p>
      <w:r>
        <w:t>- id 1: general 0.1349 → instructed 1.0000 (Δ=0.8651)</w:t>
      </w:r>
    </w:p>
    <w:p>
      <w:r>
        <w:t>- id 5: general 0.1349 → instructed 1.0000 (Δ=0.8651)</w:t>
      </w:r>
    </w:p>
    <w:p>
      <w:r>
        <w:t>- id 3: general 0.1034 → instructed 0.5761 (Δ=0.4726)</w:t>
      </w:r>
    </w:p>
    <w:p>
      <w:r>
        <w:t>악화 사례(하위 3건):</w:t>
      </w:r>
    </w:p>
    <w:p>
      <w:r>
        <w:t>- id 7: general 0.1031 → instructed 0.0985 (Δ=-0.0046)</w:t>
      </w:r>
    </w:p>
    <w:p>
      <w:r>
        <w:t>- id 8: general 0.2209 → instructed 0.2445 (Δ=0.0236)</w:t>
      </w:r>
    </w:p>
    <w:p>
      <w:r>
        <w:t>- id 2: general 0.5204 → instructed 0.5874 (Δ=0.0670)</w:t>
      </w:r>
    </w:p>
    <w:p>
      <w:r>
        <w:rPr>
          <w:b/>
        </w:rPr>
        <w:t>7.4 실무적 함의</w:t>
      </w:r>
    </w:p>
    <w:p>
      <w:r>
        <w:t>정형 요구가 있는 프롬프트(예: JSON 형식, 금지어/숫자 표현 제약)에서는 지시형 모델이 명확히 우수하므로, 규칙·템플릿 기반 워크로드(파이프라인 후처리/파싱 포함)에는 지시형을 기본값으로 채택하는 것이 합리적이다. 목차형 요약/조리법처럼 간단한 불릿 나열은 두 모델 모두 충분한 성능을 보였다.</w:t>
      </w:r>
    </w:p>
    <w:p>
      <w:r>
        <w:rPr>
          <w:b/>
        </w:rPr>
        <w:t>7.5 리스크 및 후속 계획</w:t>
      </w:r>
    </w:p>
    <w:p>
      <w:r>
        <w:t>표본(n)이 작아 신뢰구간이 넓을 수 있으므로, 시나리오별 20–50개로 확장하고 동일 분석을 반복한다. 또한 limit-words 과제는 분석 집합에서 제외하거나 limit-items-json/limit-chars로 대체한다. 후속으로 Δ준수율과 Δ(BLEU/ROUGE)의 상관분석을 수행하여 정량적 연결고리를 제시한다.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  <w:rPr>
      <w:rFonts w:ascii="맑은 고딕" w:eastAsia="맑은 고딕" w:hAnsi="맑은 고딕"/>
      <w:sz w:val="22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fontTable" Target="fontTable.xml" /><Relationship Id="rId12" Type="http://schemas.openxmlformats.org/officeDocument/2006/relationships/webSettings" Target="webSettings.xml" /><Relationship Id="rId13" Type="http://schemas.openxmlformats.org/officeDocument/2006/relationships/numbering" Target="numbering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wlfkf</cp:lastModifiedBy>
  <cp:revision>1</cp:revision>
  <dcterms:created xsi:type="dcterms:W3CDTF">2013-12-23T23:15:00Z</dcterms:created>
  <dcterms:modified xsi:type="dcterms:W3CDTF">2025-08-10T05:20:11Z</dcterms:modified>
  <cp:version>1100.0100.01</cp:version>
</cp:coreProperties>
</file>