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533E" w14:textId="77777777" w:rsidR="00A03B52" w:rsidRPr="00A03B52" w:rsidRDefault="00A03B52" w:rsidP="00A03B52">
      <w:pPr>
        <w:pageBreakBefore/>
        <w:shd w:val="clear" w:color="auto" w:fill="7F7F7F"/>
        <w:spacing w:after="240" w:line="276" w:lineRule="auto"/>
        <w:jc w:val="both"/>
        <w:outlineLvl w:val="0"/>
        <w:rPr>
          <w:rFonts w:ascii="Calibri" w:eastAsia="Times New Roman" w:hAnsi="Calibri" w:cs="Times New Roman"/>
          <w:b/>
          <w:bCs/>
          <w:noProof/>
          <w:color w:val="FFFFFF"/>
          <w:kern w:val="1"/>
          <w:sz w:val="18"/>
          <w:szCs w:val="18"/>
          <w:lang w:val="en-US" w:eastAsia="ar-SA"/>
        </w:rPr>
      </w:pPr>
      <w:bookmarkStart w:id="0" w:name="_Hlk5814148"/>
      <w:r w:rsidRPr="00A03B52">
        <w:rPr>
          <w:rFonts w:ascii="Calibri" w:eastAsia="Times New Roman" w:hAnsi="Calibri" w:cs="Times New Roman"/>
          <w:b/>
          <w:bCs/>
          <w:noProof/>
          <w:color w:val="FFFFFF"/>
          <w:kern w:val="1"/>
          <w:sz w:val="18"/>
          <w:szCs w:val="18"/>
          <w:lang w:val="en-US" w:eastAsia="ar-SA"/>
        </w:rPr>
        <w:t xml:space="preserve">Credit Stop Eligibility List </w:t>
      </w:r>
    </w:p>
    <w:p w14:paraId="5CE27F10" w14:textId="0E811462" w:rsidR="00A03B52" w:rsidRDefault="00A03B52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The Couterparty’s both supplier and customer </w:t>
      </w:r>
      <w:r w:rsidR="00956F07">
        <w:rPr>
          <w:rFonts w:ascii="Calibri" w:eastAsia="Times New Roman" w:hAnsi="Calibri" w:cs="Times New Roman"/>
          <w:b/>
          <w:noProof/>
          <w:color w:val="333333"/>
          <w:sz w:val="18"/>
          <w:szCs w:val="18"/>
          <w:lang w:val="en-US" w:eastAsia="ar-SA"/>
        </w:rPr>
        <w:t>invoice of type Final Invoice Received/Raised</w:t>
      </w:r>
      <w:r w:rsidRPr="00A03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details are fetched from PTM(CTRM).</w:t>
      </w:r>
      <w:r w:rsidR="00C32C67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The </w:t>
      </w:r>
      <w:r w:rsidR="00840C39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information will be available in PTM(CTRM) App under </w:t>
      </w:r>
      <w:bookmarkStart w:id="1" w:name="_Hlk6937355"/>
      <w:bookmarkStart w:id="2" w:name="_Hlk6223773"/>
      <w:r w:rsidR="00840C39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Accounts-&gt;Invoices-&gt;Physicals-&gt;List of All</w:t>
      </w:r>
      <w:bookmarkEnd w:id="1"/>
      <w:r w:rsidR="00840C39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.</w:t>
      </w:r>
      <w:bookmarkEnd w:id="2"/>
    </w:p>
    <w:p w14:paraId="7B2EF689" w14:textId="6A1DD9CC" w:rsidR="002664E6" w:rsidRPr="00A03B52" w:rsidRDefault="002664E6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  <w:r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Using the Contract Ref.No</w:t>
      </w:r>
      <w:r w:rsidR="00B81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as Primary key </w:t>
      </w:r>
      <w:r w:rsidR="00167E23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which is a</w:t>
      </w:r>
      <w:r w:rsidR="00B81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vailable</w:t>
      </w:r>
      <w:r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in Invoice domain</w:t>
      </w:r>
      <w:r w:rsidR="00B81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</w:t>
      </w:r>
      <w:r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, the Conterparty Group </w:t>
      </w:r>
      <w:r w:rsidR="00825D28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and Trader </w:t>
      </w:r>
      <w:r w:rsidR="00B81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de</w:t>
      </w:r>
      <w:r w:rsidR="00167E23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tails</w:t>
      </w:r>
      <w:r w:rsidR="00B81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should be fetced from Physicals-&gt;Contract-&gt;List All.</w:t>
      </w:r>
    </w:p>
    <w:p w14:paraId="7831674B" w14:textId="384D74D8" w:rsidR="00A03B52" w:rsidRPr="00A03B52" w:rsidRDefault="00A03B52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The transaction are fetched into the Credit Risk App in near real-time. Hence, as and when transactions are recorded in the PTM (CTRM) App, the transactions will be fetched into the Credit Risk App.</w:t>
      </w:r>
    </w:p>
    <w:p w14:paraId="1A54AA53" w14:textId="77777777" w:rsidR="00A03B52" w:rsidRPr="00A03B52" w:rsidRDefault="00A03B52" w:rsidP="00A03B52">
      <w:pPr>
        <w:pBdr>
          <w:bottom w:val="single" w:sz="4" w:space="1" w:color="808080"/>
        </w:pBdr>
        <w:spacing w:before="200" w:after="200" w:line="276" w:lineRule="auto"/>
        <w:outlineLvl w:val="2"/>
        <w:rPr>
          <w:rFonts w:ascii="Calibri" w:eastAsia="Times New Roman" w:hAnsi="Calibri" w:cs="Times New Roman"/>
          <w:b/>
          <w:bCs/>
          <w:noProof/>
          <w:color w:val="595959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b/>
          <w:bCs/>
          <w:noProof/>
          <w:color w:val="595959"/>
          <w:sz w:val="18"/>
          <w:szCs w:val="18"/>
          <w:lang w:val="en-US" w:eastAsia="ar-SA"/>
        </w:rPr>
        <w:t>Template Fields</w:t>
      </w:r>
    </w:p>
    <w:tbl>
      <w:tblPr>
        <w:tblStyle w:val="GridTable4-Accent11"/>
        <w:tblW w:w="5000" w:type="pct"/>
        <w:tblLayout w:type="fixed"/>
        <w:tblLook w:val="04A0" w:firstRow="1" w:lastRow="0" w:firstColumn="1" w:lastColumn="0" w:noHBand="0" w:noVBand="1"/>
      </w:tblPr>
      <w:tblGrid>
        <w:gridCol w:w="1266"/>
        <w:gridCol w:w="950"/>
        <w:gridCol w:w="1868"/>
        <w:gridCol w:w="2115"/>
        <w:gridCol w:w="2817"/>
      </w:tblGrid>
      <w:tr w:rsidR="00D74B07" w:rsidRPr="00A03B52" w14:paraId="2C96E422" w14:textId="2A613C9C" w:rsidTr="00E2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D16F237" w14:textId="77777777" w:rsidR="00D74B07" w:rsidRPr="00A03B52" w:rsidRDefault="00D74B07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bookmarkStart w:id="3" w:name="_Hlk5889116"/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Field</w:t>
            </w:r>
          </w:p>
        </w:tc>
        <w:tc>
          <w:tcPr>
            <w:tcW w:w="527" w:type="pct"/>
          </w:tcPr>
          <w:p w14:paraId="34570D6F" w14:textId="77777777" w:rsidR="00D74B07" w:rsidRPr="00A03B52" w:rsidRDefault="00D74B07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Type</w:t>
            </w:r>
          </w:p>
        </w:tc>
        <w:tc>
          <w:tcPr>
            <w:tcW w:w="1036" w:type="pct"/>
          </w:tcPr>
          <w:p w14:paraId="0AAB32EB" w14:textId="2A47DCE7" w:rsidR="00D74B07" w:rsidRPr="00A03B52" w:rsidRDefault="00D74B07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Accepted Values</w:t>
            </w:r>
          </w:p>
        </w:tc>
        <w:tc>
          <w:tcPr>
            <w:tcW w:w="1173" w:type="pct"/>
          </w:tcPr>
          <w:p w14:paraId="64CD21CF" w14:textId="77777777" w:rsidR="00D74B07" w:rsidRPr="00A03B52" w:rsidRDefault="00D74B07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Sample data </w:t>
            </w:r>
          </w:p>
        </w:tc>
        <w:tc>
          <w:tcPr>
            <w:tcW w:w="1563" w:type="pct"/>
          </w:tcPr>
          <w:p w14:paraId="6F5EF32D" w14:textId="2E50C32A" w:rsidR="00D74B07" w:rsidRPr="00A03B52" w:rsidRDefault="00D74B07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Domain Detail</w:t>
            </w:r>
          </w:p>
        </w:tc>
      </w:tr>
      <w:tr w:rsidR="00D74B07" w:rsidRPr="00A03B52" w14:paraId="128D3C29" w14:textId="28A402A1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3BAAF57" w14:textId="77777777" w:rsidR="00D74B07" w:rsidRPr="00A03B52" w:rsidRDefault="00D74B07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Eligible</w:t>
            </w:r>
          </w:p>
        </w:tc>
        <w:tc>
          <w:tcPr>
            <w:tcW w:w="527" w:type="pct"/>
          </w:tcPr>
          <w:p w14:paraId="1BE55EEB" w14:textId="77777777" w:rsidR="00D74B07" w:rsidRPr="00A03B52" w:rsidRDefault="00D74B07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Checkbox</w:t>
            </w:r>
          </w:p>
        </w:tc>
        <w:tc>
          <w:tcPr>
            <w:tcW w:w="1036" w:type="pct"/>
          </w:tcPr>
          <w:p w14:paraId="49772DB2" w14:textId="77777777" w:rsidR="00D74B07" w:rsidRPr="00A03B52" w:rsidRDefault="00D74B07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Ticked(yes) by default </w:t>
            </w:r>
          </w:p>
        </w:tc>
        <w:tc>
          <w:tcPr>
            <w:tcW w:w="1173" w:type="pct"/>
          </w:tcPr>
          <w:p w14:paraId="7C20D4B6" w14:textId="77777777" w:rsidR="00D74B07" w:rsidRPr="00A03B52" w:rsidRDefault="00D74B07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noProof/>
                <w:color w:val="333333"/>
                <w:sz w:val="18"/>
                <w:szCs w:val="18"/>
                <w:lang w:eastAsia="ar-SA"/>
              </w:rPr>
              <w:drawing>
                <wp:inline distT="0" distB="0" distL="0" distR="0" wp14:anchorId="49201877" wp14:editId="6F576D70">
                  <wp:extent cx="109416" cy="125935"/>
                  <wp:effectExtent l="0" t="0" r="508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-mark-42622_640.png"/>
                          <pic:cNvPicPr/>
                        </pic:nvPicPr>
                        <pic:blipFill>
                          <a:blip r:embed="rId5">
                            <a:extLs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5" cy="14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</w:tcPr>
          <w:p w14:paraId="3705A8F0" w14:textId="77777777" w:rsidR="00D74B07" w:rsidRPr="00A03B52" w:rsidRDefault="00D74B07" w:rsidP="00BD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bookmarkStart w:id="4" w:name="_GoBack"/>
        <w:bookmarkEnd w:id="4"/>
      </w:tr>
      <w:tr w:rsidR="00D74B07" w:rsidRPr="00A03B52" w14:paraId="3C3C4457" w14:textId="6F2EDFD8" w:rsidTr="00E213C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4F49B60E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Declared </w:t>
            </w:r>
          </w:p>
        </w:tc>
        <w:tc>
          <w:tcPr>
            <w:tcW w:w="527" w:type="pct"/>
          </w:tcPr>
          <w:p w14:paraId="59DA03A9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Checkbox</w:t>
            </w:r>
          </w:p>
        </w:tc>
        <w:tc>
          <w:tcPr>
            <w:tcW w:w="1036" w:type="pct"/>
          </w:tcPr>
          <w:p w14:paraId="1BCB5CAA" w14:textId="664F22A6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Ticked(yes) by default </w:t>
            </w:r>
          </w:p>
        </w:tc>
        <w:tc>
          <w:tcPr>
            <w:tcW w:w="1173" w:type="pct"/>
          </w:tcPr>
          <w:p w14:paraId="63AE994E" w14:textId="6F6760FF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noProof/>
                <w:color w:val="333333"/>
                <w:sz w:val="18"/>
                <w:szCs w:val="18"/>
                <w:lang w:eastAsia="ar-SA"/>
              </w:rPr>
              <w:drawing>
                <wp:inline distT="0" distB="0" distL="0" distR="0" wp14:anchorId="6C00FAAA" wp14:editId="7C9D387A">
                  <wp:extent cx="109416" cy="125935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-mark-42622_640.png"/>
                          <pic:cNvPicPr/>
                        </pic:nvPicPr>
                        <pic:blipFill>
                          <a:blip r:embed="rId5">
                            <a:extLs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25" cy="14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</w:tcPr>
          <w:p w14:paraId="744E4771" w14:textId="77777777" w:rsidR="00D74B07" w:rsidRPr="00A03B52" w:rsidRDefault="00D74B07" w:rsidP="00BD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</w:tr>
      <w:tr w:rsidR="00D74B07" w:rsidRPr="00A03B52" w14:paraId="19E7E927" w14:textId="7A17C27E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6F1692DF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Over due </w:t>
            </w:r>
          </w:p>
        </w:tc>
        <w:tc>
          <w:tcPr>
            <w:tcW w:w="527" w:type="pct"/>
          </w:tcPr>
          <w:p w14:paraId="500D69F9" w14:textId="77777777" w:rsidR="00D74B07" w:rsidRPr="00A03B52" w:rsidRDefault="00D74B07" w:rsidP="001507D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Checkbox</w:t>
            </w:r>
          </w:p>
        </w:tc>
        <w:tc>
          <w:tcPr>
            <w:tcW w:w="1036" w:type="pct"/>
          </w:tcPr>
          <w:p w14:paraId="2DA76421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09B90455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563" w:type="pct"/>
          </w:tcPr>
          <w:p w14:paraId="7C8D5321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</w:tr>
      <w:tr w:rsidR="00D74B07" w:rsidRPr="00A03B52" w14:paraId="7D6E5526" w14:textId="54BB26D4" w:rsidTr="00E213C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70E84073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bookmarkStart w:id="5" w:name="_Hlk6937272"/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Corporate ID</w:t>
            </w:r>
          </w:p>
        </w:tc>
        <w:tc>
          <w:tcPr>
            <w:tcW w:w="527" w:type="pct"/>
          </w:tcPr>
          <w:p w14:paraId="18FD8054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String </w:t>
            </w:r>
          </w:p>
        </w:tc>
        <w:tc>
          <w:tcPr>
            <w:tcW w:w="1036" w:type="pct"/>
          </w:tcPr>
          <w:p w14:paraId="5030D66E" w14:textId="404297CA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7C9F1179" w14:textId="77777777" w:rsidR="00D74B07" w:rsidRPr="00A03B52" w:rsidRDefault="00D74B07" w:rsidP="001507D0">
            <w:pPr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MANBE</w:t>
            </w:r>
          </w:p>
        </w:tc>
        <w:tc>
          <w:tcPr>
            <w:tcW w:w="1563" w:type="pct"/>
          </w:tcPr>
          <w:p w14:paraId="2ACD6703" w14:textId="7D18F77F" w:rsidR="00D74B07" w:rsidRPr="00A03B52" w:rsidRDefault="00E213C3" w:rsidP="00BD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AK_CORPORATE</w:t>
            </w:r>
          </w:p>
        </w:tc>
      </w:tr>
      <w:tr w:rsidR="00D74B07" w:rsidRPr="00A03B52" w14:paraId="5F5D6A0C" w14:textId="24F5A952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0CC59F4C" w14:textId="4647305D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Counterparty </w:t>
            </w: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Group</w:t>
            </w:r>
          </w:p>
        </w:tc>
        <w:tc>
          <w:tcPr>
            <w:tcW w:w="527" w:type="pct"/>
          </w:tcPr>
          <w:p w14:paraId="147CF044" w14:textId="77777777" w:rsidR="00D74B07" w:rsidRPr="00A03B52" w:rsidRDefault="00D74B07" w:rsidP="001507D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String</w:t>
            </w:r>
          </w:p>
        </w:tc>
        <w:tc>
          <w:tcPr>
            <w:tcW w:w="1036" w:type="pct"/>
          </w:tcPr>
          <w:p w14:paraId="181A2963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3EB275C9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ABDOULAYE SEYE</w:t>
            </w:r>
          </w:p>
        </w:tc>
        <w:tc>
          <w:tcPr>
            <w:tcW w:w="1563" w:type="pct"/>
          </w:tcPr>
          <w:p w14:paraId="7F6D7059" w14:textId="65C34CE4" w:rsidR="00D74B07" w:rsidRPr="00A03B52" w:rsidRDefault="00167E23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167E23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BP_GROUP_NAME of table BGM_BP_GROUP_MASTER</w:t>
            </w:r>
          </w:p>
        </w:tc>
      </w:tr>
      <w:tr w:rsidR="00D74B07" w:rsidRPr="00A03B52" w14:paraId="4FA2306B" w14:textId="247C0410" w:rsidTr="00E213C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1DBA39E2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Trader</w:t>
            </w:r>
          </w:p>
        </w:tc>
        <w:tc>
          <w:tcPr>
            <w:tcW w:w="527" w:type="pct"/>
          </w:tcPr>
          <w:p w14:paraId="0C4B5FAF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String </w:t>
            </w:r>
          </w:p>
        </w:tc>
        <w:tc>
          <w:tcPr>
            <w:tcW w:w="1036" w:type="pct"/>
          </w:tcPr>
          <w:p w14:paraId="42A2621D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Name of the Trader </w:t>
            </w:r>
          </w:p>
        </w:tc>
        <w:tc>
          <w:tcPr>
            <w:tcW w:w="1173" w:type="pct"/>
          </w:tcPr>
          <w:p w14:paraId="6A9ACC72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Ben</w:t>
            </w:r>
          </w:p>
        </w:tc>
        <w:tc>
          <w:tcPr>
            <w:tcW w:w="1563" w:type="pct"/>
          </w:tcPr>
          <w:p w14:paraId="44B4ABDC" w14:textId="5ADF069B" w:rsidR="00D74B07" w:rsidRPr="00A03B52" w:rsidRDefault="00E213C3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Combining the columns </w:t>
            </w: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firstname</w:t>
            </w:r>
            <w:proofErr w:type="spellEnd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 and </w:t>
            </w: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lastname</w:t>
            </w:r>
            <w:proofErr w:type="spellEnd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 of the table GAB_GLOBALADDRESSBOOK</w:t>
            </w:r>
          </w:p>
        </w:tc>
      </w:tr>
      <w:tr w:rsidR="00D74B07" w:rsidRPr="00A03B52" w14:paraId="03F3BDC7" w14:textId="6231ECCA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1C284E24" w14:textId="77777777" w:rsidR="00D74B07" w:rsidRPr="00A03B52" w:rsidDel="00F36270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Invoice Ref No.</w:t>
            </w:r>
          </w:p>
        </w:tc>
        <w:tc>
          <w:tcPr>
            <w:tcW w:w="527" w:type="pct"/>
          </w:tcPr>
          <w:p w14:paraId="514A89AD" w14:textId="77777777" w:rsidR="00D74B07" w:rsidRPr="00A03B52" w:rsidRDefault="00D74B07" w:rsidP="001507D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String </w:t>
            </w:r>
          </w:p>
        </w:tc>
        <w:tc>
          <w:tcPr>
            <w:tcW w:w="1036" w:type="pct"/>
          </w:tcPr>
          <w:p w14:paraId="3390A071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Contract Item Level</w:t>
            </w:r>
          </w:p>
        </w:tc>
        <w:tc>
          <w:tcPr>
            <w:tcW w:w="1173" w:type="pct"/>
          </w:tcPr>
          <w:p w14:paraId="4E67ECC9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FI-S-5-MANBE</w:t>
            </w:r>
          </w:p>
        </w:tc>
        <w:tc>
          <w:tcPr>
            <w:tcW w:w="1563" w:type="pct"/>
          </w:tcPr>
          <w:p w14:paraId="3055E15E" w14:textId="6EAFE3D3" w:rsidR="00D74B07" w:rsidRPr="00A03B52" w:rsidRDefault="00E213C3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is_invoice_summary</w:t>
            </w:r>
            <w:proofErr w:type="spellEnd"/>
          </w:p>
        </w:tc>
      </w:tr>
      <w:tr w:rsidR="00D74B07" w:rsidRPr="00A03B52" w14:paraId="0E83C41D" w14:textId="69B3A0C6" w:rsidTr="00E213C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8C43E34" w14:textId="77777777" w:rsidR="00D74B07" w:rsidRPr="00A03B52" w:rsidDel="00F36270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Payment Term</w:t>
            </w:r>
          </w:p>
        </w:tc>
        <w:tc>
          <w:tcPr>
            <w:tcW w:w="527" w:type="pct"/>
          </w:tcPr>
          <w:p w14:paraId="5B933299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String </w:t>
            </w:r>
          </w:p>
        </w:tc>
        <w:tc>
          <w:tcPr>
            <w:tcW w:w="1036" w:type="pct"/>
          </w:tcPr>
          <w:p w14:paraId="3908EC07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26539738" w14:textId="77777777" w:rsidR="00D74B07" w:rsidRPr="00A03B52" w:rsidRDefault="00D74B07" w:rsidP="001507D0">
            <w:pPr>
              <w:numPr>
                <w:ilvl w:val="0"/>
                <w:numId w:val="1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AR_10 DAYS_INV</w:t>
            </w:r>
          </w:p>
          <w:p w14:paraId="6FDD0E8A" w14:textId="77777777" w:rsidR="00D74B07" w:rsidRPr="00A03B52" w:rsidRDefault="00D74B07" w:rsidP="001507D0">
            <w:pPr>
              <w:numPr>
                <w:ilvl w:val="0"/>
                <w:numId w:val="1"/>
              </w:num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AP_LC 75 DAYS_B/L</w:t>
            </w:r>
          </w:p>
        </w:tc>
        <w:tc>
          <w:tcPr>
            <w:tcW w:w="1563" w:type="pct"/>
          </w:tcPr>
          <w:p w14:paraId="47DF69D0" w14:textId="77777777" w:rsidR="00E213C3" w:rsidRPr="00BD12C5" w:rsidRDefault="00E213C3" w:rsidP="00E2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pym_payment_terms_master</w:t>
            </w:r>
            <w:proofErr w:type="spellEnd"/>
          </w:p>
          <w:p w14:paraId="2B2BACAA" w14:textId="77777777" w:rsidR="00D74B07" w:rsidRPr="00A03B52" w:rsidRDefault="00D74B07" w:rsidP="00E213C3">
            <w:pPr>
              <w:ind w:left="3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</w:tr>
      <w:tr w:rsidR="00D74B07" w:rsidRPr="00A03B52" w14:paraId="5D55EBAF" w14:textId="458BBC57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7007494D" w14:textId="77777777" w:rsidR="00D74B07" w:rsidRPr="00A03B52" w:rsidDel="00F36270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Due Date </w:t>
            </w:r>
          </w:p>
        </w:tc>
        <w:tc>
          <w:tcPr>
            <w:tcW w:w="527" w:type="pct"/>
          </w:tcPr>
          <w:p w14:paraId="6293F4B9" w14:textId="77777777" w:rsidR="00D74B07" w:rsidRPr="00A03B52" w:rsidRDefault="00D74B07" w:rsidP="001507D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Date</w:t>
            </w:r>
          </w:p>
        </w:tc>
        <w:tc>
          <w:tcPr>
            <w:tcW w:w="1036" w:type="pct"/>
          </w:tcPr>
          <w:p w14:paraId="612050D2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2FC96C8B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24-Feb-2019</w:t>
            </w:r>
          </w:p>
        </w:tc>
        <w:tc>
          <w:tcPr>
            <w:tcW w:w="1563" w:type="pct"/>
          </w:tcPr>
          <w:p w14:paraId="1CC5337E" w14:textId="181EB7F4" w:rsidR="00D74B07" w:rsidRPr="00A03B52" w:rsidRDefault="00E213C3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IS_INVOICE_SUMMARY</w:t>
            </w:r>
          </w:p>
        </w:tc>
      </w:tr>
      <w:tr w:rsidR="00D74B07" w:rsidRPr="00A03B52" w14:paraId="11A1C2F1" w14:textId="5455331A" w:rsidTr="00E213C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443F7496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Payable Currency</w:t>
            </w:r>
          </w:p>
        </w:tc>
        <w:tc>
          <w:tcPr>
            <w:tcW w:w="527" w:type="pct"/>
          </w:tcPr>
          <w:p w14:paraId="51687A6E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String </w:t>
            </w:r>
          </w:p>
        </w:tc>
        <w:tc>
          <w:tcPr>
            <w:tcW w:w="1036" w:type="pct"/>
          </w:tcPr>
          <w:p w14:paraId="302DA2EE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61D05D8D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USD</w:t>
            </w:r>
          </w:p>
        </w:tc>
        <w:tc>
          <w:tcPr>
            <w:tcW w:w="1563" w:type="pct"/>
          </w:tcPr>
          <w:p w14:paraId="1504E2B1" w14:textId="77777777" w:rsidR="00E213C3" w:rsidRPr="00BD12C5" w:rsidRDefault="00E213C3" w:rsidP="00E2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cm_currency_master</w:t>
            </w:r>
            <w:proofErr w:type="spellEnd"/>
          </w:p>
          <w:p w14:paraId="63964D7A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</w:tr>
      <w:tr w:rsidR="00D74B07" w:rsidRPr="00A03B52" w14:paraId="10FC4C39" w14:textId="182723C7" w:rsidTr="00E2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05C04D6E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Total Amount </w:t>
            </w:r>
          </w:p>
        </w:tc>
        <w:tc>
          <w:tcPr>
            <w:tcW w:w="527" w:type="pct"/>
          </w:tcPr>
          <w:p w14:paraId="3D671914" w14:textId="77777777" w:rsidR="00D74B07" w:rsidRPr="00A03B52" w:rsidRDefault="00D74B07" w:rsidP="001507D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Number </w:t>
            </w:r>
          </w:p>
        </w:tc>
        <w:tc>
          <w:tcPr>
            <w:tcW w:w="1036" w:type="pct"/>
          </w:tcPr>
          <w:p w14:paraId="3739DCDF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41DB313A" w14:textId="77777777" w:rsidR="00D74B07" w:rsidRPr="00A03B52" w:rsidRDefault="00D74B07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25000</w:t>
            </w:r>
          </w:p>
        </w:tc>
        <w:tc>
          <w:tcPr>
            <w:tcW w:w="1563" w:type="pct"/>
          </w:tcPr>
          <w:p w14:paraId="309456B2" w14:textId="12B36BC1" w:rsidR="00D74B07" w:rsidRPr="00A03B52" w:rsidRDefault="00E213C3" w:rsidP="00150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IS_INVOICE_SUMMARY</w:t>
            </w:r>
          </w:p>
        </w:tc>
      </w:tr>
      <w:tr w:rsidR="00D74B07" w:rsidRPr="00A03B52" w14:paraId="3295AE4F" w14:textId="45CEB67E" w:rsidTr="00E213C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14:paraId="3A04EB7E" w14:textId="77777777" w:rsidR="00D74B07" w:rsidRPr="00A03B52" w:rsidRDefault="00D74B07" w:rsidP="001507D0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Pending Amount </w:t>
            </w:r>
          </w:p>
        </w:tc>
        <w:tc>
          <w:tcPr>
            <w:tcW w:w="527" w:type="pct"/>
          </w:tcPr>
          <w:p w14:paraId="69CB10DF" w14:textId="77777777" w:rsidR="00D74B07" w:rsidRPr="00A03B52" w:rsidRDefault="00D74B07" w:rsidP="001507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Number </w:t>
            </w:r>
          </w:p>
        </w:tc>
        <w:tc>
          <w:tcPr>
            <w:tcW w:w="1036" w:type="pct"/>
          </w:tcPr>
          <w:p w14:paraId="2E531B85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1173" w:type="pct"/>
          </w:tcPr>
          <w:p w14:paraId="4553955B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12000</w:t>
            </w:r>
          </w:p>
        </w:tc>
        <w:tc>
          <w:tcPr>
            <w:tcW w:w="1563" w:type="pct"/>
          </w:tcPr>
          <w:p w14:paraId="2448217D" w14:textId="054BBAC7" w:rsidR="00E213C3" w:rsidRPr="00BD12C5" w:rsidRDefault="00E213C3" w:rsidP="00E2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Derived using </w:t>
            </w: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amt_</w:t>
            </w:r>
            <w:proofErr w:type="gram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paid</w:t>
            </w:r>
            <w:proofErr w:type="spellEnd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  and</w:t>
            </w:r>
            <w:proofErr w:type="gramEnd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amt_to_pay</w:t>
            </w:r>
            <w:proofErr w:type="spellEnd"/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  from table IS_INVOICE_SUMMARY</w:t>
            </w:r>
          </w:p>
          <w:p w14:paraId="7E398369" w14:textId="77777777" w:rsidR="00E213C3" w:rsidRPr="00BD12C5" w:rsidRDefault="00E213C3" w:rsidP="00E2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BD12C5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(CASE</w:t>
            </w:r>
          </w:p>
          <w:p w14:paraId="263BD2B9" w14:textId="77777777" w:rsidR="00D74B07" w:rsidRPr="00A03B52" w:rsidRDefault="00D74B07" w:rsidP="00150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</w:tr>
      <w:bookmarkEnd w:id="3"/>
      <w:bookmarkEnd w:id="5"/>
    </w:tbl>
    <w:p w14:paraId="47FE7546" w14:textId="77777777" w:rsidR="00A03B52" w:rsidRPr="00A03B52" w:rsidRDefault="00A03B52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07E5DD38" w14:textId="77777777" w:rsidR="00A03B52" w:rsidRPr="00A03B52" w:rsidRDefault="00A03B52" w:rsidP="00A03B52">
      <w:pPr>
        <w:spacing w:before="120" w:line="276" w:lineRule="auto"/>
        <w:outlineLvl w:val="4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Following are the expected activities:-</w:t>
      </w:r>
    </w:p>
    <w:p w14:paraId="18645835" w14:textId="77493778" w:rsidR="00A03B52" w:rsidRPr="00A03B52" w:rsidRDefault="00A03B52" w:rsidP="00A03B52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The first three columns </w:t>
      </w:r>
      <w:r w:rsidR="00140082" w:rsidRPr="00A03B52">
        <w:rPr>
          <w:rFonts w:ascii="Calibri" w:hAnsi="Calibri"/>
          <w:color w:val="333333"/>
          <w:sz w:val="18"/>
          <w:szCs w:val="18"/>
          <w:lang w:eastAsia="ar-SA"/>
        </w:rPr>
        <w:t>Eligible</w:t>
      </w:r>
      <w:r w:rsidRPr="00A03B52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, Declared  and Overdue are editable.</w:t>
      </w:r>
    </w:p>
    <w:p w14:paraId="5C9898D5" w14:textId="77777777" w:rsidR="00A03B52" w:rsidRPr="00A03B52" w:rsidRDefault="00A03B52" w:rsidP="00A03B52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The other columns are non editable, but the data will be refreshed when the user lands in that page.</w:t>
      </w:r>
    </w:p>
    <w:p w14:paraId="263B18B6" w14:textId="40C5CA22" w:rsidR="00A03B52" w:rsidRPr="00910CA8" w:rsidRDefault="00A03B52" w:rsidP="00A03B52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When another user is editing, the editing status should be displayed </w:t>
      </w:r>
      <w:r w:rsidR="00167E23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in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activity log with </w:t>
      </w:r>
      <w:r w:rsidR="00BD12C5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Invoice Ref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</w:t>
      </w:r>
      <w:r w:rsidR="00BD12C5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No. 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as ref</w:t>
      </w:r>
      <w:r w:rsidR="00BD12C5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erence 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to the row being edited.This helps in collaboration.</w:t>
      </w:r>
    </w:p>
    <w:p w14:paraId="442FC12E" w14:textId="77777777" w:rsidR="00A03B52" w:rsidRPr="00A03B52" w:rsidRDefault="00A03B52" w:rsidP="00A03B52">
      <w:pPr>
        <w:spacing w:after="0" w:line="240" w:lineRule="auto"/>
        <w:ind w:left="720"/>
        <w:rPr>
          <w:rFonts w:ascii="Calibri" w:eastAsia="Times New Roman" w:hAnsi="Calibri" w:cs="Times New Roman"/>
          <w:color w:val="333333"/>
          <w:szCs w:val="18"/>
          <w:lang w:val="en-US" w:eastAsia="ar-SA"/>
        </w:rPr>
      </w:pPr>
    </w:p>
    <w:bookmarkEnd w:id="0"/>
    <w:p w14:paraId="7712CAFD" w14:textId="1BEC89DC" w:rsidR="00A03B52" w:rsidRPr="00A03B52" w:rsidRDefault="00A03B52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  <w:r w:rsidRPr="00A03B52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Credit Risk Status Calculation :</w:t>
      </w:r>
      <w:r w:rsidR="008A0DEB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>-</w:t>
      </w:r>
      <w:r w:rsidR="001963CA"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  <w:t xml:space="preserve"> </w:t>
      </w:r>
    </w:p>
    <w:p w14:paraId="1FE87AE8" w14:textId="7D50E944" w:rsidR="00956F07" w:rsidRDefault="00956F07" w:rsidP="00910CA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On page load of Credit stop eligibility list, the invoices of all the Counterparty’s available in </w:t>
      </w:r>
      <w:r w:rsidR="0099558C" w:rsidRPr="003C1DAE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Counterparty Maintenance</w:t>
      </w:r>
      <w:r w:rsidR="0099558C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screen should be fetched from CTRM in real time.</w:t>
      </w:r>
    </w:p>
    <w:p w14:paraId="2411D682" w14:textId="4A4D01B0" w:rsidR="00443B99" w:rsidRPr="00443B99" w:rsidRDefault="00443B99" w:rsidP="00443B9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443B99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User will be able to check/uncheck the flag. User will be able to check/uncheck through a bulk mechanism also (i.e. select all for a subset of the invoices)</w:t>
      </w:r>
    </w:p>
    <w:p w14:paraId="50452B7F" w14:textId="61074267" w:rsidR="00861581" w:rsidRDefault="00861581" w:rsidP="00861581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All the Couterparty</w:t>
      </w:r>
      <w:r w:rsidR="0099558C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’s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will be checked  by default to eligible in Credit stop eligibility list.</w:t>
      </w:r>
    </w:p>
    <w:p w14:paraId="1027AD77" w14:textId="2DF64A96" w:rsidR="00861581" w:rsidRDefault="00861581" w:rsidP="00861581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The column Declared will be default checked to indicate if the invoice has been declared to credendo</w:t>
      </w:r>
      <w:r w:rsidR="002D39D2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(External rating in Limit  Maintenance)</w:t>
      </w:r>
      <w:r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or not.</w:t>
      </w:r>
    </w:p>
    <w:p w14:paraId="481D5BCD" w14:textId="02FDD66A" w:rsidR="00861581" w:rsidRPr="00861581" w:rsidRDefault="00861581" w:rsidP="00861581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The column </w:t>
      </w:r>
      <w:r w:rsidRPr="00801B72">
        <w:rPr>
          <w:rFonts w:ascii="Calibri" w:eastAsia="Times New Roman" w:hAnsi="Calibri" w:cs="Times New Roman"/>
          <w:b/>
          <w:bCs/>
          <w:iCs/>
          <w:noProof/>
          <w:color w:val="333333"/>
          <w:sz w:val="18"/>
          <w:szCs w:val="18"/>
          <w:lang w:val="en-US" w:eastAsia="ar-SA"/>
        </w:rPr>
        <w:t>Overdue will not be default checked</w:t>
      </w:r>
      <w:r>
        <w:rPr>
          <w:rFonts w:ascii="Calibri" w:eastAsia="Times New Roman" w:hAnsi="Calibri" w:cs="Times New Roman"/>
          <w:b/>
          <w:bCs/>
          <w:iCs/>
          <w:noProof/>
          <w:color w:val="333333"/>
          <w:sz w:val="18"/>
          <w:szCs w:val="18"/>
          <w:lang w:val="en-US" w:eastAsia="ar-SA"/>
        </w:rPr>
        <w:t xml:space="preserve"> </w:t>
      </w:r>
      <w:r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and is used to indicate if the declared invoices are overdued.</w:t>
      </w:r>
    </w:p>
    <w:p w14:paraId="1D6A506A" w14:textId="2A04B55B" w:rsidR="00A03B52" w:rsidRDefault="00A03B52" w:rsidP="00910CA8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lastRenderedPageBreak/>
        <w:t xml:space="preserve">At the end of day (at a fixed scheduled time everyday), the app will pick up all those records whose </w:t>
      </w:r>
      <w:r w:rsidR="006F1CD1"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Eligilble column </w:t>
      </w: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is checked for calculation of Delivery Stop, Automatic Suspension and Prepayment Stop</w:t>
      </w:r>
      <w:r w:rsidR="00861581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.Based on the below mentioned logic, the status will be autoupadted in </w:t>
      </w:r>
      <w:r w:rsidR="00560E4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Counterparty</w:t>
      </w:r>
      <w:r w:rsidR="00861581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 Maintenance screen.</w:t>
      </w:r>
    </w:p>
    <w:p w14:paraId="043F7081" w14:textId="4319BE63" w:rsidR="004D4371" w:rsidRPr="0099558C" w:rsidRDefault="00A03B52" w:rsidP="0099558C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910CA8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If a particular Counterparty Group falls in Delivery Stop, Automatic Suspension  or Prepayment Stop, then only the Group record in the Counterparty Maintenance will have its “Credit Risk Status” changed. </w:t>
      </w:r>
    </w:p>
    <w:p w14:paraId="0403A240" w14:textId="6D573E9B" w:rsidR="0099558C" w:rsidRDefault="00910CA8" w:rsidP="009E1CED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  <w:r w:rsidRP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Credit team </w:t>
      </w:r>
      <w:r w:rsid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u</w:t>
      </w:r>
      <w:r w:rsidRP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ser </w:t>
      </w:r>
      <w:r w:rsidR="0099558C" w:rsidRP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 xml:space="preserve">may use filters in Counterparty Maintenance screen </w:t>
      </w:r>
      <w:r w:rsidR="006D105D" w:rsidRP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to check the status of the Counterparty</w:t>
      </w:r>
      <w:r w:rsidR="006D105D"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  <w:t>.</w:t>
      </w:r>
    </w:p>
    <w:p w14:paraId="0AFF17DE" w14:textId="77777777" w:rsidR="006D105D" w:rsidRPr="006D105D" w:rsidRDefault="006D105D" w:rsidP="006D105D">
      <w:pPr>
        <w:spacing w:after="0" w:line="240" w:lineRule="auto"/>
        <w:ind w:left="720"/>
        <w:rPr>
          <w:rFonts w:ascii="Calibri" w:eastAsia="Times New Roman" w:hAnsi="Calibri" w:cs="Times New Roman"/>
          <w:bCs/>
          <w:iCs/>
          <w:noProof/>
          <w:color w:val="333333"/>
          <w:sz w:val="18"/>
          <w:szCs w:val="18"/>
          <w:lang w:val="en-US" w:eastAsia="ar-SA"/>
        </w:rPr>
      </w:pPr>
    </w:p>
    <w:tbl>
      <w:tblPr>
        <w:tblStyle w:val="GridTable4-Accent11"/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321"/>
        <w:gridCol w:w="3850"/>
        <w:gridCol w:w="3850"/>
      </w:tblGrid>
      <w:tr w:rsidR="00E50786" w:rsidRPr="00A03B52" w14:paraId="4714D245" w14:textId="1CD77294" w:rsidTr="00E5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</w:tcPr>
          <w:p w14:paraId="5104FE40" w14:textId="77777777" w:rsidR="00E50786" w:rsidRPr="00A03B52" w:rsidRDefault="00E50786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Credit Risk status</w:t>
            </w:r>
          </w:p>
        </w:tc>
        <w:tc>
          <w:tcPr>
            <w:tcW w:w="2134" w:type="pct"/>
          </w:tcPr>
          <w:p w14:paraId="479AADF3" w14:textId="77777777" w:rsidR="00E50786" w:rsidRPr="00A03B52" w:rsidRDefault="00E50786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Condition </w:t>
            </w:r>
          </w:p>
        </w:tc>
        <w:tc>
          <w:tcPr>
            <w:tcW w:w="2134" w:type="pct"/>
          </w:tcPr>
          <w:p w14:paraId="10534D7E" w14:textId="3E7E7666" w:rsidR="00E50786" w:rsidRPr="00A03B52" w:rsidRDefault="00E50786" w:rsidP="00A03B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User and Invoice Type </w:t>
            </w:r>
          </w:p>
        </w:tc>
      </w:tr>
      <w:tr w:rsidR="00E50786" w:rsidRPr="00A03B52" w14:paraId="02FF474C" w14:textId="66D09750" w:rsidTr="00E5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Merge w:val="restart"/>
          </w:tcPr>
          <w:p w14:paraId="04D38E51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43076675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0DF276B7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29C106A6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6D28E2AC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Delivery Stop</w:t>
            </w:r>
          </w:p>
        </w:tc>
        <w:tc>
          <w:tcPr>
            <w:tcW w:w="2134" w:type="pct"/>
          </w:tcPr>
          <w:p w14:paraId="548CCE8E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((Invoice Pending Amount&gt;0.00) AND (Profit Center! = Steel/Metals) AND (Invoice Due date + 60 calendar days &gt; Current system date))</w:t>
            </w:r>
          </w:p>
          <w:p w14:paraId="38DCF0FB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0F15AD65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2F36F1A6" w14:textId="77777777" w:rsidR="00E50786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Customer </w:t>
            </w:r>
          </w:p>
          <w:p w14:paraId="6B49CF45" w14:textId="3AC33A0F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Final Invoice Raised </w:t>
            </w:r>
          </w:p>
        </w:tc>
      </w:tr>
      <w:tr w:rsidR="00E50786" w:rsidRPr="00A03B52" w14:paraId="68E721CB" w14:textId="09A189E6" w:rsidTr="00E5078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Merge/>
          </w:tcPr>
          <w:p w14:paraId="165ECFF5" w14:textId="77777777" w:rsidR="00E50786" w:rsidRPr="00A03B52" w:rsidRDefault="00E50786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4E5C96F6" w14:textId="77777777" w:rsidR="00E50786" w:rsidRPr="00A03B52" w:rsidRDefault="00E50786" w:rsidP="00A03B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((Invoice Pending Amount&gt;0.00) AND (Profit Center = Steel/Metals) AND (Invoice Due date + 30 calendar days&gt; Current system date +Till that month’s end date))</w:t>
            </w:r>
          </w:p>
          <w:p w14:paraId="51184B9C" w14:textId="77777777" w:rsidR="00E50786" w:rsidRPr="00A03B52" w:rsidRDefault="00E50786" w:rsidP="00A03B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385A7B45" w14:textId="77777777" w:rsidR="00E50786" w:rsidRDefault="00E50786" w:rsidP="00A03B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Customer </w:t>
            </w:r>
          </w:p>
          <w:p w14:paraId="1533EB8A" w14:textId="4DF760FA" w:rsidR="00E50786" w:rsidRPr="00A03B52" w:rsidRDefault="00E50786" w:rsidP="00A03B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Final Invoice Raised</w:t>
            </w:r>
          </w:p>
        </w:tc>
      </w:tr>
      <w:tr w:rsidR="00E50786" w:rsidRPr="00A03B52" w14:paraId="143CDCE1" w14:textId="03DFBC57" w:rsidTr="00E5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Merge w:val="restart"/>
          </w:tcPr>
          <w:p w14:paraId="06085A44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097B9D4D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664E4818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6430B89A" w14:textId="77777777" w:rsidR="00E50786" w:rsidRPr="00A03B52" w:rsidRDefault="00E50786" w:rsidP="00A03B52">
            <w:pPr>
              <w:spacing w:after="120"/>
              <w:jc w:val="center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Automatic Suspension</w:t>
            </w:r>
          </w:p>
        </w:tc>
        <w:tc>
          <w:tcPr>
            <w:tcW w:w="2134" w:type="pct"/>
          </w:tcPr>
          <w:p w14:paraId="3C26DDC3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((Invoice Pending Amount&gt;0.00) AND (Profit Center! = Steel/Metals) AND (Invoice Due date + 90 calendar days &gt; Current system date))</w:t>
            </w:r>
          </w:p>
          <w:p w14:paraId="3A16584F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  <w:p w14:paraId="064699B5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15F38113" w14:textId="77777777" w:rsidR="00E50786" w:rsidRDefault="00E50786" w:rsidP="00E5078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Customer </w:t>
            </w:r>
          </w:p>
          <w:p w14:paraId="394919B7" w14:textId="39AB6688" w:rsidR="00E50786" w:rsidRPr="00A03B52" w:rsidRDefault="00E50786" w:rsidP="00E5078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Final Invoice Raised</w:t>
            </w:r>
          </w:p>
        </w:tc>
      </w:tr>
      <w:tr w:rsidR="00E50786" w:rsidRPr="00A03B52" w14:paraId="6AE541D7" w14:textId="446C5F97" w:rsidTr="00E5078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Merge/>
          </w:tcPr>
          <w:p w14:paraId="7DF24E25" w14:textId="77777777" w:rsidR="00E50786" w:rsidRPr="00A03B52" w:rsidRDefault="00E50786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53ACDA4D" w14:textId="77777777" w:rsidR="00E50786" w:rsidRPr="00A03B52" w:rsidRDefault="00E50786" w:rsidP="00A0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((Invoice Pending Amount&gt;0.00) AND (Profit Center = Steel/Metals) AND (Invoice Due date + 60 calendar days&gt; Current system date +Till that month’s end date))</w:t>
            </w:r>
          </w:p>
          <w:p w14:paraId="293F955D" w14:textId="77777777" w:rsidR="00E50786" w:rsidRPr="00A03B52" w:rsidRDefault="00E50786" w:rsidP="00A03B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</w:p>
        </w:tc>
        <w:tc>
          <w:tcPr>
            <w:tcW w:w="2134" w:type="pct"/>
          </w:tcPr>
          <w:p w14:paraId="7F8944D2" w14:textId="77777777" w:rsidR="00E50786" w:rsidRDefault="00E50786" w:rsidP="00E5078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Customer </w:t>
            </w:r>
          </w:p>
          <w:p w14:paraId="0C9C0318" w14:textId="50222F30" w:rsidR="00E50786" w:rsidRPr="00A03B52" w:rsidRDefault="00E50786" w:rsidP="00E5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Final Invoice Raised</w:t>
            </w:r>
          </w:p>
        </w:tc>
      </w:tr>
      <w:tr w:rsidR="00E50786" w:rsidRPr="00A03B52" w14:paraId="6BE4DC48" w14:textId="582F5E06" w:rsidTr="00E5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</w:tcPr>
          <w:p w14:paraId="781BC771" w14:textId="77777777" w:rsidR="00E50786" w:rsidRPr="00A03B52" w:rsidRDefault="00E50786" w:rsidP="00A03B52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Prepayment Stop</w:t>
            </w:r>
          </w:p>
        </w:tc>
        <w:tc>
          <w:tcPr>
            <w:tcW w:w="2134" w:type="pct"/>
          </w:tcPr>
          <w:p w14:paraId="5CBF4172" w14:textId="77777777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Purchase Contract Executed (Delivered Qty) = 0.00 on or after 60 calendar days after Shipment to Date</w:t>
            </w:r>
          </w:p>
        </w:tc>
        <w:tc>
          <w:tcPr>
            <w:tcW w:w="2134" w:type="pct"/>
          </w:tcPr>
          <w:p w14:paraId="54E883FD" w14:textId="77777777" w:rsidR="00E50786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Supplier </w:t>
            </w:r>
          </w:p>
          <w:p w14:paraId="2C36EFC3" w14:textId="5CC13AA9" w:rsidR="00E50786" w:rsidRPr="00A03B52" w:rsidRDefault="00E50786" w:rsidP="00A03B5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Final Invoice Received </w:t>
            </w:r>
          </w:p>
        </w:tc>
      </w:tr>
    </w:tbl>
    <w:p w14:paraId="45E3A43A" w14:textId="5496FC7C" w:rsidR="00A03B52" w:rsidRDefault="00A03B52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094B0C96" w14:textId="1F2E8DA4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tbl>
      <w:tblPr>
        <w:tblStyle w:val="GridTable4-Accent11"/>
        <w:tblpPr w:leftFromText="180" w:rightFromText="180" w:vertAnchor="text" w:horzAnchor="page" w:tblpX="1915" w:tblpY="34"/>
        <w:tblW w:w="2608" w:type="pct"/>
        <w:tblLayout w:type="fixed"/>
        <w:tblLook w:val="04A0" w:firstRow="1" w:lastRow="0" w:firstColumn="1" w:lastColumn="0" w:noHBand="0" w:noVBand="1"/>
      </w:tblPr>
      <w:tblGrid>
        <w:gridCol w:w="1370"/>
        <w:gridCol w:w="3333"/>
      </w:tblGrid>
      <w:tr w:rsidR="00910CA8" w:rsidRPr="00A03B52" w14:paraId="38EF0F74" w14:textId="77777777" w:rsidTr="00910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14:paraId="601AD056" w14:textId="77777777" w:rsidR="00910CA8" w:rsidRPr="00A03B52" w:rsidRDefault="00910CA8" w:rsidP="00910CA8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Credit Risk status</w:t>
            </w:r>
          </w:p>
        </w:tc>
        <w:tc>
          <w:tcPr>
            <w:tcW w:w="3543" w:type="pct"/>
          </w:tcPr>
          <w:p w14:paraId="7FB7601C" w14:textId="77777777" w:rsidR="00910CA8" w:rsidRPr="00A03B52" w:rsidRDefault="00910CA8" w:rsidP="00910CA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Revoking Condition </w:t>
            </w:r>
          </w:p>
        </w:tc>
      </w:tr>
      <w:tr w:rsidR="00910CA8" w:rsidRPr="00A03B52" w14:paraId="3BEEC51F" w14:textId="77777777" w:rsidTr="00910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14:paraId="4125106D" w14:textId="60A8A6C6" w:rsidR="00910CA8" w:rsidRPr="00A03B52" w:rsidRDefault="00B21231" w:rsidP="00910CA8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Delivery Stop</w:t>
            </w:r>
          </w:p>
        </w:tc>
        <w:tc>
          <w:tcPr>
            <w:tcW w:w="3543" w:type="pct"/>
          </w:tcPr>
          <w:p w14:paraId="45F3FAF1" w14:textId="77777777" w:rsidR="00910CA8" w:rsidRPr="00A03B52" w:rsidRDefault="00910CA8" w:rsidP="00910CA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If the invoice pending amount is 0 in the current day, and if CP is in Delivery Stop, then it will be revoked back to Active status.</w:t>
            </w:r>
          </w:p>
        </w:tc>
      </w:tr>
      <w:tr w:rsidR="00910CA8" w:rsidRPr="00A03B52" w14:paraId="2C417281" w14:textId="77777777" w:rsidTr="00910CA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14:paraId="75E6DA34" w14:textId="0C214AD7" w:rsidR="00910CA8" w:rsidRPr="00A03B52" w:rsidRDefault="00140082" w:rsidP="00910CA8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Automatic Suspension</w:t>
            </w:r>
          </w:p>
        </w:tc>
        <w:tc>
          <w:tcPr>
            <w:tcW w:w="3543" w:type="pct"/>
          </w:tcPr>
          <w:p w14:paraId="344DEB1C" w14:textId="77777777" w:rsidR="00910CA8" w:rsidRPr="00A03B52" w:rsidRDefault="00910CA8" w:rsidP="00910CA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 xml:space="preserve">Manually Revoked </w:t>
            </w:r>
          </w:p>
        </w:tc>
      </w:tr>
      <w:tr w:rsidR="00B21231" w:rsidRPr="00A03B52" w14:paraId="7056FEEF" w14:textId="77777777" w:rsidTr="00910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pct"/>
          </w:tcPr>
          <w:p w14:paraId="65D296D4" w14:textId="77777777" w:rsidR="00B21231" w:rsidRPr="00A03B52" w:rsidRDefault="00B21231" w:rsidP="00B21231">
            <w:pPr>
              <w:spacing w:after="12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Prepayment Stop</w:t>
            </w:r>
          </w:p>
        </w:tc>
        <w:tc>
          <w:tcPr>
            <w:tcW w:w="3543" w:type="pct"/>
          </w:tcPr>
          <w:p w14:paraId="5AF1264B" w14:textId="0341A68E" w:rsidR="00B21231" w:rsidRPr="00A03B52" w:rsidRDefault="00B21231" w:rsidP="00B2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</w:pPr>
            <w:r w:rsidRPr="00A03B52">
              <w:rPr>
                <w:rFonts w:ascii="Calibri" w:hAnsi="Calibri"/>
                <w:color w:val="333333"/>
                <w:sz w:val="18"/>
                <w:szCs w:val="18"/>
                <w:lang w:eastAsia="ar-SA"/>
              </w:rPr>
              <w:t>If the invoice pending amount is 0 in the current day, and if CP is in Delivery Stop, then it will be revoked back to Active status.</w:t>
            </w:r>
          </w:p>
        </w:tc>
      </w:tr>
    </w:tbl>
    <w:p w14:paraId="57FC9A6D" w14:textId="10BD3D3D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46E30761" w14:textId="0E9EF340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02E69E05" w14:textId="6448C908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57551FFC" w14:textId="77B8DC7D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09EF8E5E" w14:textId="46354F71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06356ABC" w14:textId="4A4C691E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70696DED" w14:textId="17AB089F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1776886B" w14:textId="395C1D61" w:rsidR="006F1CD1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6001567B" w14:textId="77777777" w:rsidR="006F1CD1" w:rsidRPr="00A03B52" w:rsidRDefault="006F1CD1" w:rsidP="00A03B52">
      <w:pPr>
        <w:spacing w:after="120" w:line="240" w:lineRule="auto"/>
        <w:rPr>
          <w:rFonts w:ascii="Calibri" w:eastAsia="Times New Roman" w:hAnsi="Calibri" w:cs="Times New Roman"/>
          <w:noProof/>
          <w:color w:val="333333"/>
          <w:sz w:val="18"/>
          <w:szCs w:val="18"/>
          <w:lang w:val="en-US" w:eastAsia="ar-SA"/>
        </w:rPr>
      </w:pPr>
    </w:p>
    <w:p w14:paraId="76B0C262" w14:textId="77777777" w:rsidR="00677E1A" w:rsidRDefault="00677E1A"/>
    <w:sectPr w:rsidR="0067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6A9"/>
    <w:multiLevelType w:val="hybridMultilevel"/>
    <w:tmpl w:val="45FE718C"/>
    <w:lvl w:ilvl="0" w:tplc="62F85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1225"/>
    <w:multiLevelType w:val="hybridMultilevel"/>
    <w:tmpl w:val="890AA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10C3C"/>
    <w:multiLevelType w:val="hybridMultilevel"/>
    <w:tmpl w:val="0A445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36017"/>
    <w:multiLevelType w:val="hybridMultilevel"/>
    <w:tmpl w:val="F5183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67A45"/>
    <w:multiLevelType w:val="hybridMultilevel"/>
    <w:tmpl w:val="F5183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E2"/>
    <w:rsid w:val="000473B2"/>
    <w:rsid w:val="00134516"/>
    <w:rsid w:val="00140082"/>
    <w:rsid w:val="001507D0"/>
    <w:rsid w:val="00167E23"/>
    <w:rsid w:val="001963CA"/>
    <w:rsid w:val="001D7CE2"/>
    <w:rsid w:val="002664E6"/>
    <w:rsid w:val="002C071A"/>
    <w:rsid w:val="002D39D2"/>
    <w:rsid w:val="00311EE0"/>
    <w:rsid w:val="003C1DAE"/>
    <w:rsid w:val="00443B99"/>
    <w:rsid w:val="004B2528"/>
    <w:rsid w:val="004D4371"/>
    <w:rsid w:val="004D726A"/>
    <w:rsid w:val="00560E48"/>
    <w:rsid w:val="005F089F"/>
    <w:rsid w:val="00677E1A"/>
    <w:rsid w:val="006A5CA1"/>
    <w:rsid w:val="006D105D"/>
    <w:rsid w:val="006F1CD1"/>
    <w:rsid w:val="00761315"/>
    <w:rsid w:val="007A0A2E"/>
    <w:rsid w:val="007E044E"/>
    <w:rsid w:val="00801B72"/>
    <w:rsid w:val="00825D28"/>
    <w:rsid w:val="00840C39"/>
    <w:rsid w:val="00850FB6"/>
    <w:rsid w:val="00861581"/>
    <w:rsid w:val="00876E46"/>
    <w:rsid w:val="008A0DEB"/>
    <w:rsid w:val="008E7892"/>
    <w:rsid w:val="00910CA8"/>
    <w:rsid w:val="00956F07"/>
    <w:rsid w:val="009741C3"/>
    <w:rsid w:val="00983EB8"/>
    <w:rsid w:val="0099558C"/>
    <w:rsid w:val="009A306E"/>
    <w:rsid w:val="009D6477"/>
    <w:rsid w:val="009E586F"/>
    <w:rsid w:val="009F7A28"/>
    <w:rsid w:val="00A03B52"/>
    <w:rsid w:val="00AD7BD4"/>
    <w:rsid w:val="00B21231"/>
    <w:rsid w:val="00B44A62"/>
    <w:rsid w:val="00B81B52"/>
    <w:rsid w:val="00B83455"/>
    <w:rsid w:val="00BB38C4"/>
    <w:rsid w:val="00BD12C5"/>
    <w:rsid w:val="00C32C67"/>
    <w:rsid w:val="00C5630D"/>
    <w:rsid w:val="00C64009"/>
    <w:rsid w:val="00CB1ADA"/>
    <w:rsid w:val="00CE379E"/>
    <w:rsid w:val="00D24EDA"/>
    <w:rsid w:val="00D74B07"/>
    <w:rsid w:val="00DC1259"/>
    <w:rsid w:val="00DF2605"/>
    <w:rsid w:val="00E213C3"/>
    <w:rsid w:val="00E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B49"/>
  <w15:chartTrackingRefBased/>
  <w15:docId w15:val="{18373DFC-FE2F-4FE2-A8CD-FFEF4FC4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03B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A03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A03B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semiHidden/>
    <w:rsid w:val="00910CA8"/>
    <w:pPr>
      <w:spacing w:after="120" w:line="240" w:lineRule="auto"/>
    </w:pPr>
    <w:rPr>
      <w:rFonts w:ascii="Calibri" w:eastAsia="Times New Roman" w:hAnsi="Calibri" w:cs="Times New Roman"/>
      <w:color w:val="333333"/>
      <w:szCs w:val="18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910CA8"/>
    <w:rPr>
      <w:rFonts w:ascii="Calibri" w:eastAsia="Times New Roman" w:hAnsi="Calibri" w:cs="Times New Roman"/>
      <w:color w:val="333333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44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check-mark-check-ok-approved-done-4262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Balan</dc:creator>
  <cp:keywords/>
  <dc:description/>
  <cp:lastModifiedBy>Aishwarya Balan</cp:lastModifiedBy>
  <cp:revision>5</cp:revision>
  <dcterms:created xsi:type="dcterms:W3CDTF">2019-04-29T06:09:00Z</dcterms:created>
  <dcterms:modified xsi:type="dcterms:W3CDTF">2019-04-29T08:19:00Z</dcterms:modified>
</cp:coreProperties>
</file>