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За спіраллю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Матриця, що складається з M рядків і N стовпців, заповнюється натуральними випадковими числами по спіралі: перший стовпець зверху вниз до позиції останнього рядка, що залишився. Від цього рядка зліва направо. Далі - знизу вгору, до останньої не заповненої клітинки, потім від неї справа наліво, і т. д.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Так, наприклад, матриця з 4 рядків і 5 стовпців має вигляд: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59100" cy="1663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Необхідно знайти значення елемента матриці, що стоїть в i-му рядку та j-му стовпці.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Вхідні дані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Перший рядок вхідного файлу містить величини розмірності матриці М і N (1 ≤ M, N ≤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Другий рядок містить значення i та j елемента матриці (1 ≤ i ≤ M, 1 ≤ j ≤ N).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Єдиний рядок вихідного файлу повинен містити шукане значення елемента матриці.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