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Наступний паліндром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Натуральне число називається паліндромом, якщо його запис у десятковій системі числення однаково читається як зліва направо, так і справа наліво. За даним натуральним числом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визначте наступне за ним натуральне число, що є паліндромом.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Вхідні дані: файл input.txt містить натуральне число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Вихідні дані: в файл output.txt записати наступне за числом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натуральне число, що є паліндромом.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Контрольний приклад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tbl>
      <w:tblPr>
        <w:tblStyle w:val="Table1"/>
        <w:bidi w:val="0"/>
        <w:tblW w:w="9025.511811023624" w:type="dxa"/>
        <w:jc w:val="left"/>
        <w:tblLayout w:type="fixed"/>
        <w:tblLook w:val="0600"/>
      </w:tblPr>
      <w:tblGrid>
        <w:gridCol w:w="4432.127348456105"/>
        <w:gridCol w:w="4593.384462567518"/>
        <w:tblGridChange w:id="0">
          <w:tblGrid>
            <w:gridCol w:w="4432.127348456105"/>
            <w:gridCol w:w="4593.384462567518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Input.txt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Output.txt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4321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4334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