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SALARY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Визначити, яку заробітну платню одержить на фірмі сумісник за виконану роботу, якщо йому нарахованоS грн., а податок становить 20%.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Вхідні дані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 вводите з клавіатури одне дійсне число 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Вихідні дані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 виводите на екран одне дійсне число з двома знаками після коми (без округлення).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 вхідних і вихідних даних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Вхід: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Вихід: 800.00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