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Informe Exhaustivo sobre Arquitectura y Estrategia para Plataformas de Gestión de Solicitudes: Integración PWA, Inteligencia Artificial y Tableros Kanban ITSM</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Introducción a la Gestión de Solicitudes y el Ecosistema Contemporáneo</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evolución de los mecanismos de retroalimentación y la gestión de solicitudes operativas representa uno de los desafíos más complejos y urgentes en la intersección entre la arquitectura de software, la administración institucional y la psicología del comportamiento. En las organizaciones contemporáneas, sean corporaciones de alcance global o instituciones de educación superior, las operaciones diarias generan una red intrincada de requerimientos diversos que involucran y cruzan a múltiples departamentos simultáneamente.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Desde la provisión de accesos tecnológicos hasta la orientación psicosocial, la demanda de servicios internos crece exponencialmente.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Sin un sistema orquestado y adecuado, incluso los problemas operativos más simples y estandarizados —como el restablecimiento de contraseñas de sistemas, las solicitudes de material para instalaciones o la articulación de un proceso de reclutamiento y </w:t>
      </w:r>
      <w:r w:rsidDel="00000000" w:rsidR="00000000" w:rsidRPr="00000000">
        <w:rPr>
          <w:rFonts w:ascii="Google Sans" w:cs="Google Sans" w:eastAsia="Google Sans" w:hAnsi="Google Sans"/>
          <w:i w:val="1"/>
          <w:iCs w:val="1"/>
          <w:color w:val="1f1f1f"/>
          <w:rtl w:val="0"/>
        </w:rPr>
        <w:t xml:space="preserve">onboarding</w:t>
      </w:r>
      <w:r w:rsidDel="00000000" w:rsidR="00000000" w:rsidRPr="00000000">
        <w:rPr>
          <w:rFonts w:ascii="Google Sans" w:cs="Google Sans" w:eastAsia="Google Sans" w:hAnsi="Google Sans"/>
          <w:color w:val="1f1f1f"/>
          <w:rtl w:val="0"/>
        </w:rPr>
        <w:t xml:space="preserve"> desde Recursos Humanos— pueden provocar retrasos sistémicos, confusión generalizada y una profunda frustración en el usuario final. La falta de un proceso estructurado de gestión de solicitudes de servicio resulta invariablemente en tiempos de respuesta más largos, acumulación de requerimientos sin resolver en un estado de letargo y experiencias sumamente negativas tanto para clientes externos como para empleados y estudiantes internos.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gestión de solicitudes se refiere al manejo estructurado, auditable y eficiente de todas las peticiones estandarizadas enviadas a una mesa de servicio o departamento operativo. A diferencia de la gestión de problemas mayores, estas solicitudes normalmente no implican incidentes críticos ni interrupciones catastróficas de la infraestructura, sino que suelen estar relacionadas con la habilitación de accesos a sistemas, la provisión de recursos físicos o digitales, o la consulta de información normativa y procedimental.</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Cada solicitud debe registrarse meticulosamente, priorizarse según su impacto, resolverse dentro de márgenes de tiempo definidos y documentarse para futuras auditorías.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Los procesos deficientes en este ámbito generan una pérdida tangible de productividad, un desgaste en la moral del personal y una grave insatisfacción de los clientes o usuarios. Si un nuevo empleado no recibe sus credenciales de red a tiempo, no podrá desempeñarse correctamente, y su periodo de inactividad impacta el rendimiento de todo su equipo. De igual manera, las solicitudes de clientes o estudiantes que permanecen sin resolver afectan la fidelización, la retención y la confianza a largo plazo.</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Por el contrario, una gestión efectiva mediante software especializado garantiza el registro y seguimiento ininterrumpido de cada solicitud, asegura que las responsabilidades estén claramente asignadas a los agentes correctos, mantiene una comunicación centralizada y rastreable que elimina los silos de información, y certifica el cumplimiento de los Acuerdos de Nivel de Servicio (SLA) y sus plazos asociados.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En resumen, un manejo superior de las solicitudes es una condición esencial e innegociable para asegurar la continuidad del negocio y mantener la calidad de los servicios en cualquier ecosistema moderno.</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Beneficios Estructurales de una Gestión Exitosa de Solicitudes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Cuando las metodologías de gestión de servicios (ITSM) se implementan de manera correcta y se apoyan en arquitecturas de software modernas, la organización experimenta ventajas tangibles que transforman la cultura operativa. Los beneficios más importantes que justifican la implementación de una plataforma integral son múltiples y cuantificables.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Alta Eficiencia y Reducción de la Fricción Operativa</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 una estructura digital sólida y flujos de trabajo automatizados, los equipos de servicio ahorran un esfuerzo manual considerable y facilitan la toma de decisiones estratégicas. El uso de formularios estándar, combinados con reglas de enrutamiento algorítmico, permite asignar tareas a las personas o departamentos adecuados con una rapidez sin precedentes, reduciendo los errores humanos de categorización y eliminando los tiempos de espera pasivos.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La eficiencia se traduce en una mayor capacidad de procesamiento (throughput) sin necesidad de aumentar la plantilla de soporte de forma proporcional.</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Visibilidad, Trazabilidad y Control</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través de la implementación de un sistema centralizado, absolutamente todas las solicitudes se registran, monitorean y siguen en tiempo real a lo largo de su ciclo de vida. Los tableros analíticos y los reportes periódicos ofrecen a los gerentes, directores y líderes de proyecto una transparencia total sobre las cargas de trabajo de cada departamento, la aparición de cuellos de botella en la cadena de resolución y el desempeño general de los servicios prestados.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Esta visibilidad es el pilar para justificar presupuestos, reasignar recursos y comprender el comportamiento estacional de las demandas.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Comunicación Mejorada y Supresión de Silos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través de un portal unificado de interacción o un sistema centralizado de tickets, tanto los solicitantes como los equipos de soporte se mantienen informados en todo momento de manera asincrónica. Las actualizaciones de estado, las aprobaciones gerenciales y las notificaciones de resolución se comunican de manera automática. Esto evita el caos organizacional, la duplicación de esfuerzos y las cadenas interminables e ineficientes de correos electrónicos que fragmentan el contexto del problema.</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Satisfacción Integral de Clientes y Empleados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 manejo rápido, transparente y empático genera un capital de confianza invaluable y mejora radicalmente la experiencia de usuario. En el entorno corporativo, los empleados se sienten respaldados y valorados cuando sus herramientas de trabajo funcionan sin fricciones; en el ámbito educativo o comercial, los clientes y estudiantes satisfechos demuestran mayores índices de retención y lealtad hacia la institución.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La reducción de la incertidumbre mediante la confirmación clara de los tiempos de respuesta disminuye la ansiedad del solicitante y valida su necesidad.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Responsabilidad, Auditoría y Cumplimiento Normativo</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Los sistemas de gestión bien diseñados mantienen un registro inmutable de la cadena de custodia: quién realizó qué acción, en qué momento exacto y bajo qué justificación técnica. Este historial exhaustivo es absolutamente esencial para demostrar el cumplimiento normativo ante agencias gubernamentales, para ejecutar controles internos de calidad y para llevar a cabo evaluaciones objetivas del desempeño de los agentes de resolución.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En un entorno donde las regulaciones de privacidad y ciberseguridad son cada vez más estrictas, la trazabilidad no es una opción, sino una obligación legal.</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Cultura de Mejora Continua</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análisis constante del volumen histórico de solicitudes, los tiempos medios de resolución y los índices de satisfacción de los usuarios permite a los arquitectos de procesos identificar problemas recurrentes y fallas sistémicas. En lugar de reaccionar perpetuamente a los mismos incidentes, la organización puede optimizar sus procesos de manera constante, automatizando soluciones a problemas crónicos y evolucionando la madurez de su infraestructura de servicios.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Psicología del Comportamiento y Fricción Cognitiva en Entornos Institucionales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diseño de una plataforma de captura de solicitudes exige comprender el estado mental del usuario. Tradicionalmente, las instituciones han operado bajo esquemas procedimentales y jerárquicos (el paradigma burocrático-weberiano) que priorizan el control estadístico y la eficiencia burocrática interna por sobre la experiencia humana.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usuario rara vez accede a un canal institucional de soporte en un estado de homeostasis emocional. El acto de enviar un reclamo, reportar un fallo de infraestructura o solicitar ayuda psicosocial o vocacional suele estar precedido por un nivel significativo de frustración, disonancia cognitiva, sobrecarga alostática o angustia abierta.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En el ecosistema universitario chileno, por ejemplo, el treinta por ciento de los estudiantes abandona su carrera en el primer año, a menudo producto de crisis de identidad académica que generan pensamientos rumiantes y dudas severas sobre su propia autoeficacia cognitiva.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estos dolores internos se suman los estresores ambientales externos. La crisis del transporte público, la percepción de inseguridad ciudadana y el agotamiento físico pre-ingreso al campus actúan como factores que diezman la tolerancia del usuario a la ineficiencia.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Cuando un individuo, operando bajo estos niveles críticos de escasez de tiempo y energía, se enfrenta a una plataforma administrativa rígida, se produce el fenómeno conocido como "sludge" (fricción o lodo administrativo).</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Teoría de la Carga Cognitiva</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que una plataforma elimine el </w:t>
      </w:r>
      <w:r w:rsidDel="00000000" w:rsidR="00000000" w:rsidRPr="00000000">
        <w:rPr>
          <w:rFonts w:ascii="Google Sans" w:cs="Google Sans" w:eastAsia="Google Sans" w:hAnsi="Google Sans"/>
          <w:i w:val="1"/>
          <w:iCs w:val="1"/>
          <w:color w:val="1f1f1f"/>
          <w:rtl w:val="0"/>
        </w:rPr>
        <w:t xml:space="preserve">sludge</w:t>
      </w:r>
      <w:r w:rsidDel="00000000" w:rsidR="00000000" w:rsidRPr="00000000">
        <w:rPr>
          <w:rFonts w:ascii="Google Sans" w:cs="Google Sans" w:eastAsia="Google Sans" w:hAnsi="Google Sans"/>
          <w:color w:val="1f1f1f"/>
          <w:rtl w:val="0"/>
        </w:rPr>
        <w:t xml:space="preserve"> y logre una captura de datos sin fricción, su arquitectura debe respetar escrupulosamente la Teoría de la Carga Cognitiva de John Sweller, la cual divide el esfuerzo de procesamiento de la memoria de trabajo humana en tres dimensiones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Dimensión de la Carga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Definición Teórica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Manifestación Burocrática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Estrategia de Diseño en la Plataforma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Carga Intrínseca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La dificultad objetiva de la tarea en sí misma.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El esfuerzo mental para recordar secuencias de eventos y estructurar un problema de manera coherente.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Uso de interfaces conversacionales asincrónicas que asisten al usuario a organizar su pensamiento sin presionarlo.</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Carga Extrínseca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El esfuerzo adicional e innecesario impuesto por una mala presentación de la tarea.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Jerga institucional incomprensible, diseño visual saturado, instrucciones ambiguas y la compartimentación artificial de problemas interconectados.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Eliminación absoluta de reglas restrictivas. Integración de solicitudes múltiples en un flujo de diálogo unificado y uso de UX Writing.</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Carga Germana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El esfuerzo mental dedicado al procesamiento profundo y la resolución constructiva de problemas.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La capacidad del usuario de sugerir mejoras proactivas, la cual suele ser anulada si el sistema lo agota con burocracia.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Al reducir la carga extrínseca, la interfaz libera recursos neurológicos para que el usuario colabore en la solución.</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diseño de la plataforma propuesta debe ejecutar un desplazamiento cognitivo radical: abandonar el locus de control punitivo y jerárquico para establecer una dinámica colaborativa. En lugar de formularios que fiscalizan, se requieren "espacios seguros" (safe spaces) digitales que ofrezcan garantías explícitas de confidencialidad, empleando iconografía de apoyo heurístico que desestigmatice la búsqueda de ayuda y reduzca la ansiedad inhibitoria del lóbulo prefrontal del usuario.</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Mejores Prácticas para la Arquitectura y Gestión de Solicitudes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Implementar la gestión de solicitudes trasciende la mera instalación de una herramienta de software. Implica la orquestación de una cultura organizacional basada en la consistencia de los datos, la respuesta ágil y la mejora iterativa. La plataforma debe soportar nativamente las siguientes prácticas clave recomendadas por los estándares de la industria ITSM:</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Estandarización de Categorías y Formularios Dinámicos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 fundamental definir categorías semánticamente claras (ortogonales) para los distintos tipos de solicitudes, como incidentes de TI, requerimientos de RR. HH., soporte de instalaciones o consultas financieras.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La plataforma no debe obligar al usuario a adivinar la taxonomía jerárquica de la empresa. En su lugar, el sistema debe utilizar formularios estandarizados, pero generados de forma dinámica y contextual, para recopilar información precisa, ágil y relevante sin abrumar con campos innecesarios.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Automatización Continua</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sistema debe automatizar todas las tareas recurrentes y predecibles. Esto incluye la creación algorítmica de tickets, el enrutamiento inteligente basado en la carga de trabajo de los agentes, las aprobaciones automatizadas basadas en reglas de negocio predefinidas y la emisión de notificaciones de cambio de estado.</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La automatización acelera drásticamente los procesos transversales y reduce la carga operativa repetitiva que desgasta a los equipos de soporte.</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Definición de Reglas de Priorización y Escalabilidad</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Dado que no todas las solicitudes ostentan la misma urgencia, la plataforma debe incorporar un motor de reglas que establezca criterios de clasificación basados en el impacto operativo, la criticidad del negocio y los Acuerdos de Nivel de Servicio (SLA).</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El sistema debe identificar proactivamente las interrupciones severas para que se atiendan en primer lugar, separándolas de las consultas informativas de baja prioridad.</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Asignación de Responsables Claros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trazabilidad exige que cada solicitud posea un responsable designado (owner) en todo momento. Las asignaciones automatizadas basadas en roles (RBAC) y las reglas de escalamiento programadas aseguran una responsabilidad ineludible, fomentan la transparencia operativa y evitan el estancamiento de requerimientos en "tierras de nadie" interdepartamentales.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Opciones Robustas de Autoservicio (Self-Service)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desviar el volumen de solicitudes rutinarias, la plataforma debe poner a disposición un portal de autoservicio impulsado por bases de conocimiento y preguntas frecuentes (FAQ).</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Fomentar la autonomía del usuario para resolver problemas comunes (como consultas de políticas o restablecimientos simples) disminuye dramáticamente la presión sobre la mesa de servicio y mejora el tiempo de respuesta general.</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Monitoreo de Desempeño a través de KPIs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gestión no es efectiva si no es medible. La plataforma debe dar seguimiento automatizado a métricas críticas, incluyendo el tiempo promedio de resolución (MTTR), la tasa de resolución en el primer contacto (FCR), el volumen de tickets en el backlog y los índices de satisfacción del cliente (CSAT).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Estos indicadores clave de rendimiento son el pulso vital que ayuda a medir la efectividad de los procesos subyacentes.</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Fomento de Retroalimentación y Aprendizaje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ciclo de servicio no concluye con la resolución técnica del problema. La plataforma debe invitar sistemáticamente a los solicitantes a evaluar su experiencia de usuario y brindar comentarios cualitativos. Esta información empírica permite a la organización ajustar los flujos de trabajo, mejorar los entrenamientos del personal de soporte y perfeccionar las estrategias de comunicación omnicanal.</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Arquitectura Frontend: Progressive Web Apps (PWA) Offline-First</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cristalizar los principios de baja fricción cognitiva y accesibilidad universal, la capa de interacción del usuario final debe construirse como una Aplicación Web Progresiva (PWA). En el panorama tecnológico proyectado hacia 2026, las PWA han trascendido la mera adaptabilidad móvil para convertirse en aplicaciones de espectro completo que aprovechan el Edge Runtime, fusionando la distribución sin fricciones de la web con el rendimiento de las aplicaciones nativas.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diseño frontend PWA elimina la barrera de adopción impuesta por las tiendas de aplicaciones tradicionales, permitiendo a los usuarios (especialmente estudiantes o empleados con dispositivos móviles de gama baja y almacenamiento limitado) acceder a la plataforma mediante una simple URL e instalarla instantáneamente en sus pantallas de inicio.</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Frameworks Modernos: React 19, Vite y Tailwind CSS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combinación tecnológica más eficiente, escalable y robusta para construir esta PWA es el stack compuesto por React, Vite y Tailwind CSS.</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4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React:</w:t>
      </w:r>
      <w:r w:rsidDel="00000000" w:rsidR="00000000" w:rsidRPr="00000000">
        <w:rPr>
          <w:rFonts w:ascii="Google Sans" w:cs="Google Sans" w:eastAsia="Google Sans" w:hAnsi="Google Sans"/>
          <w:color w:val="1f1f1f"/>
          <w:rtl w:val="0"/>
        </w:rPr>
        <w:t xml:space="preserve"> Proporciona una arquitectura basada en componentes y un DOM virtual altamente optimizado. La evolución hacia React 19 con Server Components permite reducir la sobrecarga de JavaScript en el cliente, manteniendo interfaces altamente dinámicas y conversacionales.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4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Vite:</w:t>
      </w:r>
      <w:r w:rsidDel="00000000" w:rsidR="00000000" w:rsidRPr="00000000">
        <w:rPr>
          <w:rFonts w:ascii="Google Sans" w:cs="Google Sans" w:eastAsia="Google Sans" w:hAnsi="Google Sans"/>
          <w:color w:val="1f1f1f"/>
          <w:rtl w:val="0"/>
        </w:rPr>
        <w:t xml:space="preserve"> Reemplaza a las herramientas de construcción tradicionales, ofreciendo un servidor de desarrollo ultrarrápido con reemplazo de módulos en caliente (HMR) y una compilación de producción sumamente optimizada, esencial para los requerimientos de carga rápida de las PWA.</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45">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Tailwind CSS:</w:t>
      </w:r>
      <w:r w:rsidDel="00000000" w:rsidR="00000000" w:rsidRPr="00000000">
        <w:rPr>
          <w:rFonts w:ascii="Google Sans" w:cs="Google Sans" w:eastAsia="Google Sans" w:hAnsi="Google Sans"/>
          <w:color w:val="1f1f1f"/>
          <w:rtl w:val="0"/>
        </w:rPr>
        <w:t xml:space="preserve"> Este framework orientado a utilidades permite diseñar sistemas visuales coherentes y responsivos directamente en el marcado, eliminando el peso de hojas de estilo redundantes y facilitando la implementación de patrones de diseño minimalistas que reducen la carga cognitiva extrínseca.</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Estrategias de Red y Captura de Datos Resiliente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Una plataforma de gestión de solicitudes sin fricción no puede fallar cuando la conectividad del usuario se degrada. Ya sea un empleado en un sótano de instalaciones o un estudiante viajando en transporte público intermitente, la PWA debe operar bajo una arquitectura "Offline-First" utilizando Service Workers e IndexedDB.</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comportamiento de la red se gestiona mediante estrategias avanzadas de almacenamiento en caché (mediante herramientas como Workbox de Google) para garantizar la disponibilidad absoluta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Estrategia de Service Worker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Arquitectura de Funcionamiento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Aplicación en la Plataforma PWA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Cache First (Caché Primero)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Intercepta la solicitud y busca en la caché local; si falla, recurre a la red para descargar y almacenar el recurso.</w:t>
            </w:r>
            <w:r w:rsidDel="00000000" w:rsidR="00000000" w:rsidRPr="00000000">
              <w:rPr>
                <w:rFonts w:ascii="Google Sans" w:cs="Google Sans" w:eastAsia="Google Sans" w:hAnsi="Google Sans"/>
                <w:color w:val="444746"/>
                <w:sz w:val="24"/>
                <w:szCs w:val="24"/>
                <w:vertAlign w:val="superscript"/>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Carga instantánea del </w:t>
            </w:r>
            <w:r w:rsidDel="00000000" w:rsidR="00000000" w:rsidRPr="00000000">
              <w:rPr>
                <w:rFonts w:ascii="Google Sans" w:cs="Google Sans" w:eastAsia="Google Sans" w:hAnsi="Google Sans"/>
                <w:i w:val="1"/>
                <w:iCs w:val="1"/>
                <w:color w:val="1f1f1f"/>
                <w:shd w:fill="auto" w:val="clear"/>
                <w:rtl w:val="0"/>
              </w:rPr>
              <w:t xml:space="preserve">App Shell</w:t>
            </w:r>
            <w:r w:rsidDel="00000000" w:rsidR="00000000" w:rsidRPr="00000000">
              <w:rPr>
                <w:rFonts w:ascii="Google Sans" w:cs="Google Sans" w:eastAsia="Google Sans" w:hAnsi="Google Sans"/>
                <w:color w:val="1f1f1f"/>
                <w:shd w:fill="auto" w:val="clear"/>
                <w:rtl w:val="0"/>
              </w:rPr>
              <w:t xml:space="preserve"> (marco de la interfaz), fuentes tipográficas, íconos y activos estáticos de la plataforma, garantizando tiempos de renderizado menores a un segundo.</w:t>
            </w: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Stale-While-Revalidate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Sirve el contenido almacenado en caché de inmediato para no bloquear la interfaz, mientras simultáneamente realiza una petición en segundo plano para actualizar la caché con la versión más reciente del servidor.</w:t>
            </w:r>
            <w:r w:rsidDel="00000000" w:rsidR="00000000" w:rsidRPr="00000000">
              <w:rPr>
                <w:rFonts w:ascii="Google Sans" w:cs="Google Sans" w:eastAsia="Google Sans" w:hAnsi="Google Sans"/>
                <w:color w:val="444746"/>
                <w:sz w:val="24"/>
                <w:szCs w:val="24"/>
                <w:vertAlign w:val="superscript"/>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Visualización de historiales de solicitudes del usuario, carga de bases de conocimiento y catálogos de servicios que cambian con poca frecuencia.</w:t>
            </w: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Network First (Red Primero)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Intenta obtener los datos frescos directamente del servidor; en caso de pérdida de conexión, retrocede para mostrar la última copia almacenada en la caché.</w:t>
            </w:r>
            <w:r w:rsidDel="00000000" w:rsidR="00000000" w:rsidRPr="00000000">
              <w:rPr>
                <w:rFonts w:ascii="Google Sans" w:cs="Google Sans" w:eastAsia="Google Sans" w:hAnsi="Google Sans"/>
                <w:color w:val="444746"/>
                <w:sz w:val="24"/>
                <w:szCs w:val="24"/>
                <w:vertAlign w:val="superscript"/>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Dashboards de estado de solicitudes, notificaciones de aprobaciones y visualización de datos de perfil en tiempo real.</w:t>
            </w: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Background Sync (Sincronización Asíncrona)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Utiliza la API de Background Sync. Cuando el usuario envía un formulario sin conexión a internet, los datos estructurados se encolan de forma segura en IndexedDB. El Service Worker despacha automáticamente la carga útil al servidor en el instante en que el dispositivo recupera la conectividad.</w:t>
            </w:r>
            <w:r w:rsidDel="00000000" w:rsidR="00000000" w:rsidRPr="00000000">
              <w:rPr>
                <w:rFonts w:ascii="Google Sans" w:cs="Google Sans" w:eastAsia="Google Sans" w:hAnsi="Google Sans"/>
                <w:color w:val="444746"/>
                <w:sz w:val="24"/>
                <w:szCs w:val="24"/>
                <w:vertAlign w:val="superscript"/>
                <w:rtl w:val="0"/>
              </w:rPr>
              <w:t xml:space="preserve">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Captura de solicitudes crítica.</w:t>
            </w:r>
            <w:r w:rsidDel="00000000" w:rsidR="00000000" w:rsidRPr="00000000">
              <w:rPr>
                <w:rFonts w:ascii="Google Sans" w:cs="Google Sans" w:eastAsia="Google Sans" w:hAnsi="Google Sans"/>
                <w:color w:val="1f1f1f"/>
                <w:shd w:fill="auto" w:val="clear"/>
                <w:rtl w:val="0"/>
              </w:rPr>
              <w:t xml:space="preserve"> Permite a los usuarios llenar y enviar reclamos, encuestas o reportes de infraestructura en cualquier momento y lugar, eliminando por completo la frustración de las pérdidas de datos por desconexión.</w:t>
            </w:r>
            <w:r w:rsidDel="00000000" w:rsidR="00000000" w:rsidRPr="00000000">
              <w:rPr>
                <w:rFonts w:ascii="Google Sans" w:cs="Google Sans" w:eastAsia="Google Sans" w:hAnsi="Google Sans"/>
                <w:color w:val="444746"/>
                <w:sz w:val="24"/>
                <w:szCs w:val="24"/>
                <w:vertAlign w:val="superscript"/>
                <w:rtl w:val="0"/>
              </w:rPr>
              <w:t xml:space="preserve">25</w:t>
            </w:r>
          </w:p>
        </w:tc>
      </w:tr>
    </w:tbl>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Generación Dinámica de Formularios: Intersección entre LLMs y RAG</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resolver el problema fundamental del "sludge" administrativo —donde el usuario debe deducir la ontología interna de la empresa para seleccionar la categoría correcta— la plataforma emplea Inteligencia Artificial para interpretar la necesidad del usuario y generar formularios a medida.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Sin embargo, el uso directo de Modelos de Lenguaje Grande (LLMs) para escupir estructuras de datos presenta riesgos operativos, incluyendo latencia de respuesta, alucinaciones y "schema drift" (deriva del esquema), donde el modelo altera arbitrariamente las claves y estructuras del código requerido.</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Además, forzar a un LLM a razonar analíticamente mientras se le restringe estrictamente a producir únicamente código JSON degrada severamente sus capacidades lógicas (hasta en un 15%), ya que la restricción de formato interfiere con el espacio de generación necesario para el razonamiento profundo.</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Arquitectura de Conversación y Extracción (Two-Stage Architecture)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sortear estos impedimentos y obtener datos perfectos para el backend, la plataforma implementa una arquitectura híbrida de dos etapas, separando el razonamiento empático de la ejecución estructurada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E">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Capa Conversacional (Empatía y RAG):</w:t>
      </w:r>
      <w:r w:rsidDel="00000000" w:rsidR="00000000" w:rsidRPr="00000000">
        <w:rPr>
          <w:rFonts w:ascii="Google Sans" w:cs="Google Sans" w:eastAsia="Google Sans" w:hAnsi="Google Sans"/>
          <w:color w:val="1f1f1f"/>
          <w:rtl w:val="0"/>
        </w:rPr>
        <w:t xml:space="preserve"> El usuario interactúa con un agente conversacional de texto libre diseñado con directrices estrictas de UX Writing. El LLM opera sin restricciones de formato, actuando como un primer nivel de contención.</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Simultáneamente, el sistema emplea Recuperación Aumentada por Generación (RAG). El RAG conecta el LLM a una base de datos vectorial que contiene manuales corporativos, árboles de decisión de soporte de TI, catálogos de recursos humanos y regulaciones vigentes.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El LLM analiza la intención del usuario cruzada con la documentación recuperada para identificar qué información procedimental está ausente para resolver el caso.</w:t>
      </w:r>
    </w:p>
    <w:p w:rsidR="00000000" w:rsidDel="00000000" w:rsidP="00000000" w:rsidRDefault="00000000" w:rsidRPr="00000000" w14:paraId="0000005F">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Capa de Generación Estructurada (JSON Schema Mapping):</w:t>
      </w:r>
      <w:r w:rsidDel="00000000" w:rsidR="00000000" w:rsidRPr="00000000">
        <w:rPr>
          <w:rFonts w:ascii="Google Sans" w:cs="Google Sans" w:eastAsia="Google Sans" w:hAnsi="Google Sans"/>
          <w:color w:val="1f1f1f"/>
          <w:rtl w:val="0"/>
        </w:rPr>
        <w:t xml:space="preserve"> Una vez que la conversación ha recolectado el contexto suficiente (o determinado que se requiere un dato estructurado ineludible), un proceso secundario y determinista se activa. Se invoca una API de modelo de lenguaje configurada explícitamente para emitir salidas estructuradas (response_format: json_schema).</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Este paso toma el historial de la charla y el esquema ontológico de la base de datos de la empresa para instanciar un "JSON Schema" riguroso.</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resultado es un esquema JSON que describe las propiedades exactas de un formulario (por ejemplo: un campo de texto para la descripción del error, un selector de fechas para la ocurrencia, y un booleano de urgencia). El frontend de la PWA (utilizando librerías como react-jsonschema-form) renderiza dinámicamente este JSON transformándolo instantáneamente en componentes visuales interactivos en la pantalla del usuario.</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Esta arquitectura garantiza que el usuario solo vea los campos estrictamente necesarios ("minimización de datos") adaptados a su contexto específico, erradicando los formularios monolíticos y la fricción inhibidora en la toma de decisiones.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Panel de Control Administrativo (Estilo cPanel) y Sistema de Diseño</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Mientras que el frontend de los solicitantes prioriza el minimalismo y la contención emocional, el panel de control administrativo debe soportar una alta densidad de información y facilitar el control maestro. La visión de un panel "tipo cPanel" moderno requiere un enrutamiento veloz, agrupación modular de aplicaciones y una jerarquía de información impecable.</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Ecosistema React, Tailwind CSS y shadcn/ui</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construcción de este ecosistema de grado empresarial se cimenta en la tríada de </w:t>
      </w:r>
      <w:r w:rsidDel="00000000" w:rsidR="00000000" w:rsidRPr="00000000">
        <w:rPr>
          <w:rFonts w:ascii="Google Sans" w:cs="Google Sans" w:eastAsia="Google Sans" w:hAnsi="Google Sans"/>
          <w:b w:val="1"/>
          <w:bCs w:val="1"/>
          <w:color w:val="1f1f1f"/>
          <w:rtl w:val="0"/>
        </w:rPr>
        <w:t xml:space="preserve">React, Tailwind CSS y shadcn/ui</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Las funcionalidades clave del software especializado —escalabilidad, colaboración interdepartamental y portales unificados— dependen directamente de la flexibilidad del código fuente.</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diferencia de las librerías de componentes empaquetadas (como Material-UI o Ant Design) que ocultan sus estilos internos y dificultan las modificaciones profundas, </w:t>
      </w:r>
      <w:r w:rsidDel="00000000" w:rsidR="00000000" w:rsidRPr="00000000">
        <w:rPr>
          <w:rFonts w:ascii="Google Sans" w:cs="Google Sans" w:eastAsia="Google Sans" w:hAnsi="Google Sans"/>
          <w:b w:val="1"/>
          <w:bCs w:val="1"/>
          <w:color w:val="1f1f1f"/>
          <w:rtl w:val="0"/>
        </w:rPr>
        <w:t xml:space="preserve">shadcn/ui</w:t>
      </w:r>
      <w:r w:rsidDel="00000000" w:rsidR="00000000" w:rsidRPr="00000000">
        <w:rPr>
          <w:rFonts w:ascii="Google Sans" w:cs="Google Sans" w:eastAsia="Google Sans" w:hAnsi="Google Sans"/>
          <w:color w:val="1f1f1f"/>
          <w:rtl w:val="0"/>
        </w:rPr>
        <w:t xml:space="preserve"> propone un paradigma donde el código de cada componente complejo (modales, selectores de fecha avanzados, tablas de datos) se inyecta directamente en el repositorio del proyecto.</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Esto otorga al equipo de desarrollo una propiedad total sobre la base del código, permitiendo integrar lógicas de negocio granulares y estilos hiper-específicos sin lidiar con conflictos de especificidad CSS.</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Junto a Tailwind CSS, este sistema garantiza un diseño responsivo, soporte nativo para modos oscuros/claros, y cumplimiento estricto con los estándares de accesibilidad WAI-ARIA, esenciales para paneles que serán operados durante horas extensas por analistas de soporte.</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Patrones UX para Dashboards Operativos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diseño del panel estilo cPanel integra patrones de interacción de vanguardia para mitigar la fatiga visual y acelerar el triage:</w:t>
      </w:r>
    </w:p>
    <w:p w:rsidR="00000000" w:rsidDel="00000000" w:rsidP="00000000" w:rsidRDefault="00000000" w:rsidRPr="00000000" w14:paraId="0000006A">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Revelación Progresiva:</w:t>
      </w:r>
      <w:r w:rsidDel="00000000" w:rsidR="00000000" w:rsidRPr="00000000">
        <w:rPr>
          <w:rFonts w:ascii="Google Sans" w:cs="Google Sans" w:eastAsia="Google Sans" w:hAnsi="Google Sans"/>
          <w:color w:val="1f1f1f"/>
          <w:rtl w:val="0"/>
        </w:rPr>
        <w:t xml:space="preserve"> Los datos complejos no saturan la pantalla inicial. El panel principal muestra métricas agregadas y mapas de calor; la información granular del historial de un usuario se revela únicamente mediante paneles laterales deslizables (drawers) u hojas expansibles cuando el administrador profundiza en un ticket.</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6B">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Navegación por Paleta de Comandos (Cmd+K):</w:t>
      </w:r>
      <w:r w:rsidDel="00000000" w:rsidR="00000000" w:rsidRPr="00000000">
        <w:rPr>
          <w:rFonts w:ascii="Google Sans" w:cs="Google Sans" w:eastAsia="Google Sans" w:hAnsi="Google Sans"/>
          <w:color w:val="1f1f1f"/>
          <w:rtl w:val="0"/>
        </w:rPr>
        <w:t xml:space="preserve"> Implementación de barras de búsqueda universales que permiten a los agentes buscar identificadores de solicitudes, nombres de usuarios o configuraciones del sistema sin apartar las manos del teclado, acelerando masivamente la navegación intra-plataforma.</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6C">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Organización Modular:</w:t>
      </w:r>
      <w:r w:rsidDel="00000000" w:rsidR="00000000" w:rsidRPr="00000000">
        <w:rPr>
          <w:rFonts w:ascii="Google Sans" w:cs="Google Sans" w:eastAsia="Google Sans" w:hAnsi="Google Sans"/>
          <w:color w:val="1f1f1f"/>
          <w:rtl w:val="0"/>
        </w:rPr>
        <w:t xml:space="preserve"> Las herramientas de configuración del sistema (reglas de escalamiento, gestión de bases de conocimiento, integraciones de correo) se aíslan en módulos estandarizados, emulando la distribución de mosaicos icónicos que hizo intuitivo al ecosistema cPanel clásico.</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Gestión Avanzada de Solicitudes: El Motor Kanban ITSM</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pilar analítico y operativo de la plataforma es el entorno de administración de solicitudes basado en el método Kanban. Para gestionar redes complejas de requerimientos y evitar la acumulación de solicitudes sin resolver, el sistema exige una visualización lineal, transparente y altamente interactiva del flujo de valor.</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Estructura de Columnas y Metodología de Flujo</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ciclo de vida de la solicitud, dictado por las mejores prácticas de la industria, se fragmenta en cinco columnas secuenciales específicas, diseñadas para identificar el estado exacto de carga operativa:</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Etapa Kanban (Columna)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Función Operativa y Lógica de Enrutamiento Automático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Indicadores Visuales Clave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Nuevo (Backlog)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Receptáculo inicial. El motor LLM ejecuta un </w:t>
            </w:r>
            <w:r w:rsidDel="00000000" w:rsidR="00000000" w:rsidRPr="00000000">
              <w:rPr>
                <w:rFonts w:ascii="Google Sans" w:cs="Google Sans" w:eastAsia="Google Sans" w:hAnsi="Google Sans"/>
                <w:i w:val="1"/>
                <w:iCs w:val="1"/>
                <w:color w:val="1f1f1f"/>
                <w:shd w:fill="auto" w:val="clear"/>
                <w:rtl w:val="0"/>
              </w:rPr>
              <w:t xml:space="preserve">triage</w:t>
            </w:r>
            <w:r w:rsidDel="00000000" w:rsidR="00000000" w:rsidRPr="00000000">
              <w:rPr>
                <w:rFonts w:ascii="Google Sans" w:cs="Google Sans" w:eastAsia="Google Sans" w:hAnsi="Google Sans"/>
                <w:color w:val="1f1f1f"/>
                <w:shd w:fill="auto" w:val="clear"/>
                <w:rtl w:val="0"/>
              </w:rPr>
              <w:t xml:space="preserve"> inteligente basándose en los datos del JSON dinámico, clasificando la solicitud por departamento y nivel de urgencia.</w:t>
            </w:r>
            <w:r w:rsidDel="00000000" w:rsidR="00000000" w:rsidRPr="00000000">
              <w:rPr>
                <w:rFonts w:ascii="Google Sans" w:cs="Google Sans" w:eastAsia="Google Sans" w:hAnsi="Google Sans"/>
                <w:color w:val="444746"/>
                <w:sz w:val="24"/>
                <w:szCs w:val="24"/>
                <w:vertAlign w:val="superscript"/>
                <w:rtl w:val="0"/>
              </w:rPr>
              <w:t xml:space="preserve">47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Insignias de categorización automática (TI, RR.HH., Infraestructura). Temporizador de tiempo de primera respuesta (FRT) inactivo o en conteo inicial.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Pendiente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La solicitud ha sido enrutada y asignada a un responsable claro (agente o grupo), pero el trabajo activo aún no ha comenzado. Es una etapa de espera donde rige el SLA de respuesta.</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Avatar del agente asignado. Alertas visuales tempranas si el ticket se acerca a los límites de incumplimiento de acuerdo.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 Revisión (WIP)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Etapa de trabajo activo. El equipo de soporte está ejecutando validaciones, interactuando con el usuario o procesando los permisos basados en roles. Aquí se aplican los Límites de Trabajo en Progreso (WIP Limits) para evitar cuellos de botella humanos.</w:t>
            </w:r>
            <w:r w:rsidDel="00000000" w:rsidR="00000000" w:rsidRPr="00000000">
              <w:rPr>
                <w:rFonts w:ascii="Google Sans" w:cs="Google Sans" w:eastAsia="Google Sans" w:hAnsi="Google Sans"/>
                <w:color w:val="444746"/>
                <w:sz w:val="24"/>
                <w:szCs w:val="24"/>
                <w:vertAlign w:val="superscript"/>
                <w:rtl w:val="0"/>
              </w:rPr>
              <w:t xml:space="preserve">46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Listas de verificación (subtareas) visibles en la tarjeta. Barra de progreso dinámica que rastrea el ciclo de tiempo (Cycle Time) real.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Escalado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Solicitudes que superan el nivel de soporte actual, enfrentan fallos sistémicos o están a punto de romper un SLA crítico. Se activan notificaciones automáticas para líderes de proyecto y gerentes operativos.</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Códigos de color críticos (rojo/ámbar). Etiquetas de bloqueo que especifican la dependencia externa (ej. "Esperando proveedor" o "Aprobación gerencial necesaria").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Resuelto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Cierre técnico de la solicitud. Dispara flujos automatizados de comunicación de salida, solicitando la retroalimentación del usuario y registrando el caso para la base de conocimientos.</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Marcadores de cumplimiento exitoso o fallido del SLA. Activación de encuestas de Satisfacción del Cliente (CSAT).</w:t>
            </w:r>
          </w:p>
        </w:tc>
      </w:tr>
    </w:tbl>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Tarjeta Kanban "Súper Específica"</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Las tarjetas en este tablero no son meros bloques de texto estáticos; son micro-interfaces dinámicas alimentadas por las bibliotecas de React (como Pragmatic Drag and Drop o Syncfusion).</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Para ser "súper específicas", cada tarjeta despliega metadatos inyectados desde múltiples subsistemas:</w:t>
      </w:r>
    </w:p>
    <w:p w:rsidR="00000000" w:rsidDel="00000000" w:rsidP="00000000" w:rsidRDefault="00000000" w:rsidRPr="00000000" w14:paraId="00000086">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Resúmenes Contextuales LLM:</w:t>
      </w:r>
      <w:r w:rsidDel="00000000" w:rsidR="00000000" w:rsidRPr="00000000">
        <w:rPr>
          <w:rFonts w:ascii="Google Sans" w:cs="Google Sans" w:eastAsia="Google Sans" w:hAnsi="Google Sans"/>
          <w:color w:val="1f1f1f"/>
          <w:rtl w:val="0"/>
        </w:rPr>
        <w:t xml:space="preserve"> En lugar de forzar al agente a leer hilos de conversación extensos, la tarjeta muestra un resumen de tres viñetas generado por IA que destila la raíz del problema.</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087">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Gestión de Subtareas:</w:t>
      </w:r>
      <w:r w:rsidDel="00000000" w:rsidR="00000000" w:rsidRPr="00000000">
        <w:rPr>
          <w:rFonts w:ascii="Google Sans" w:cs="Google Sans" w:eastAsia="Google Sans" w:hAnsi="Google Sans"/>
          <w:color w:val="1f1f1f"/>
          <w:rtl w:val="0"/>
        </w:rPr>
        <w:t xml:space="preserve"> Indicadores fraccionales (ej. "2/5 pasos completados") para procesos complejos como el </w:t>
      </w:r>
      <w:r w:rsidDel="00000000" w:rsidR="00000000" w:rsidRPr="00000000">
        <w:rPr>
          <w:rFonts w:ascii="Google Sans" w:cs="Google Sans" w:eastAsia="Google Sans" w:hAnsi="Google Sans"/>
          <w:i w:val="1"/>
          <w:iCs w:val="1"/>
          <w:color w:val="1f1f1f"/>
          <w:rtl w:val="0"/>
        </w:rPr>
        <w:t xml:space="preserve">onboarding</w:t>
      </w:r>
      <w:r w:rsidDel="00000000" w:rsidR="00000000" w:rsidRPr="00000000">
        <w:rPr>
          <w:rFonts w:ascii="Google Sans" w:cs="Google Sans" w:eastAsia="Google Sans" w:hAnsi="Google Sans"/>
          <w:color w:val="1f1f1f"/>
          <w:rtl w:val="0"/>
        </w:rPr>
        <w:t xml:space="preserve"> de empleados, donde se deben completar dependencias cruzadas (creación de cuenta, entrega de hardware, asignación de permisos) antes de que la tarjeta pueda avanzar de columna.</w:t>
      </w:r>
      <w:r w:rsidDel="00000000" w:rsidR="00000000" w:rsidRPr="00000000">
        <w:rPr>
          <w:rFonts w:ascii="Google Sans" w:cs="Google Sans" w:eastAsia="Google Sans" w:hAnsi="Google Sans"/>
          <w:color w:val="444746"/>
          <w:sz w:val="24"/>
          <w:szCs w:val="24"/>
          <w:vertAlign w:val="superscript"/>
          <w:rtl w:val="0"/>
        </w:rPr>
        <w:t xml:space="preserve">50</w:t>
      </w:r>
    </w:p>
    <w:p w:rsidR="00000000" w:rsidDel="00000000" w:rsidP="00000000" w:rsidRDefault="00000000" w:rsidRPr="00000000" w14:paraId="00000088">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Temporizadores de SLA Visuales:</w:t>
      </w:r>
      <w:r w:rsidDel="00000000" w:rsidR="00000000" w:rsidRPr="00000000">
        <w:rPr>
          <w:rFonts w:ascii="Google Sans" w:cs="Google Sans" w:eastAsia="Google Sans" w:hAnsi="Google Sans"/>
          <w:color w:val="1f1f1f"/>
          <w:rtl w:val="0"/>
        </w:rPr>
        <w:t xml:space="preserve"> Rastreadores de tiempo dinámicos que se comunican con la capa de backend para advertir sobre penalizaciones o brechas en la calidad del servicio en tiempo real.</w:t>
      </w:r>
    </w:p>
    <w:p w:rsidR="00000000" w:rsidDel="00000000" w:rsidP="00000000" w:rsidRDefault="00000000" w:rsidRPr="00000000" w14:paraId="00000089">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Métricas de ITSM y Analítica de Eficiencia Operativa</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monitoreo del desempeño es el motor de la mejora continua. Un buen manejo de solicitudes requiere que la plataforma centralice y cruce las métricas relacionadas con la eficiencia y efectividad del soporte.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Los tableros de analítica integrados en la plataforma evalúan los siguientes Indicadores Clave de Rendimiento (KPI):</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Métricas de Rendimiento del Flujo (Kanban)</w:t>
      </w:r>
    </w:p>
    <w:p w:rsidR="00000000" w:rsidDel="00000000" w:rsidP="00000000" w:rsidRDefault="00000000" w:rsidRPr="00000000" w14:paraId="0000008C">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Lead Time (Tiempo de Entrega):</w:t>
      </w:r>
      <w:r w:rsidDel="00000000" w:rsidR="00000000" w:rsidRPr="00000000">
        <w:rPr>
          <w:rFonts w:ascii="Google Sans" w:cs="Google Sans" w:eastAsia="Google Sans" w:hAnsi="Google Sans"/>
          <w:color w:val="1f1f1f"/>
          <w:rtl w:val="0"/>
        </w:rPr>
        <w:t xml:space="preserve"> Mide el tiempo total desde que la solicitud entra en la columna "Nuevo" hasta que alcanza la columna "Resuelto". Es el indicador primario de la velocidad del servicio percibida por el usuario.</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8D">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Cycle Time (Tiempo de Ciclo):</w:t>
      </w:r>
      <w:r w:rsidDel="00000000" w:rsidR="00000000" w:rsidRPr="00000000">
        <w:rPr>
          <w:rFonts w:ascii="Google Sans" w:cs="Google Sans" w:eastAsia="Google Sans" w:hAnsi="Google Sans"/>
          <w:color w:val="1f1f1f"/>
          <w:rtl w:val="0"/>
        </w:rPr>
        <w:t xml:space="preserve"> Mide estrictamente el tiempo que el ticket pasa en estado de trabajo activo ("En Revisión"). La diferencia matemática entre Lead Time y Cycle Time revela el tiempo de espera improductivo.</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8E">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Throughput (Tasa de Producción):</w:t>
      </w:r>
      <w:r w:rsidDel="00000000" w:rsidR="00000000" w:rsidRPr="00000000">
        <w:rPr>
          <w:rFonts w:ascii="Google Sans" w:cs="Google Sans" w:eastAsia="Google Sans" w:hAnsi="Google Sans"/>
          <w:color w:val="1f1f1f"/>
          <w:rtl w:val="0"/>
        </w:rPr>
        <w:t xml:space="preserve"> El número de solicitudes completadas en un intervalo de tiempo (diario, semanal). Ayuda a calibrar la capacidad de los equipos y proyectar la necesidad de personal adicional.</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Métricas de Calidad de Servicio (ITSM)</w:t>
      </w:r>
    </w:p>
    <w:p w:rsidR="00000000" w:rsidDel="00000000" w:rsidP="00000000" w:rsidRDefault="00000000" w:rsidRPr="00000000" w14:paraId="00000090">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Tiempo Medio de Resolución (MTTR):</w:t>
      </w:r>
      <w:r w:rsidDel="00000000" w:rsidR="00000000" w:rsidRPr="00000000">
        <w:rPr>
          <w:rFonts w:ascii="Google Sans" w:cs="Google Sans" w:eastAsia="Google Sans" w:hAnsi="Google Sans"/>
          <w:color w:val="1f1f1f"/>
          <w:rtl w:val="0"/>
        </w:rPr>
        <w:t xml:space="preserve"> Promedio de tiempo para resolver problemas estructurales. Disminuir el MTTR mejora la disponibilidad del negocio y reduce la frustración organizacional.</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91">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Resolución en el Primer Contacto (FCR):</w:t>
      </w:r>
      <w:r w:rsidDel="00000000" w:rsidR="00000000" w:rsidRPr="00000000">
        <w:rPr>
          <w:rFonts w:ascii="Google Sans" w:cs="Google Sans" w:eastAsia="Google Sans" w:hAnsi="Google Sans"/>
          <w:color w:val="1f1f1f"/>
          <w:rtl w:val="0"/>
        </w:rPr>
        <w:t xml:space="preserve"> El porcentaje de requerimientos resueltos en la interacción inicial, sin ser escalados ni reabiertos. Un FCR alto indica precisión en la captura de datos (formularios dinámicos LLM), competencia técnica del agente y altos niveles de satisfacción del cliente.</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92">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Cumplimiento de SLA:</w:t>
      </w:r>
      <w:r w:rsidDel="00000000" w:rsidR="00000000" w:rsidRPr="00000000">
        <w:rPr>
          <w:rFonts w:ascii="Google Sans" w:cs="Google Sans" w:eastAsia="Google Sans" w:hAnsi="Google Sans"/>
          <w:color w:val="1f1f1f"/>
          <w:rtl w:val="0"/>
        </w:rPr>
        <w:t xml:space="preserve"> Porcentaje de tickets resueltos dentro de las ventanas de tiempo previamente garantizadas a los departamentos.</w:t>
      </w:r>
      <w:r w:rsidDel="00000000" w:rsidR="00000000" w:rsidRPr="00000000">
        <w:rPr>
          <w:rFonts w:ascii="Google Sans" w:cs="Google Sans" w:eastAsia="Google Sans" w:hAnsi="Google Sans"/>
          <w:color w:val="444746"/>
          <w:sz w:val="24"/>
          <w:szCs w:val="24"/>
          <w:vertAlign w:val="superscript"/>
          <w:rtl w:val="0"/>
        </w:rPr>
        <w:t xml:space="preserve">51</w:t>
      </w:r>
    </w:p>
    <w:p w:rsidR="00000000" w:rsidDel="00000000" w:rsidP="00000000" w:rsidRDefault="00000000" w:rsidRPr="00000000" w14:paraId="00000093">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Puntuación de Satisfacción del Cliente (CSAT):</w:t>
      </w:r>
      <w:r w:rsidDel="00000000" w:rsidR="00000000" w:rsidRPr="00000000">
        <w:rPr>
          <w:rFonts w:ascii="Google Sans" w:cs="Google Sans" w:eastAsia="Google Sans" w:hAnsi="Google Sans"/>
          <w:color w:val="1f1f1f"/>
          <w:rtl w:val="0"/>
        </w:rPr>
        <w:t xml:space="preserve"> La métrica cualitativa obtenida de la retroalimentación automática pos-resolución, fundamental para correlacionar los datos duros de eficiencia con la percepción emocional real de los empleados y clientes.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94">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Cumplimiento Normativo, Seguridad y Privacidad de Datos (Ley N° 21.719)</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despliegue de una plataforma centralizada que recopila la mayor cantidad de información y métricas conductuales opera invariablemente en un campo minado legal y regulatorio. En el escenario chileno, la arquitectura del sistema debe someterse a los mandatos estrictos de la </w:t>
      </w:r>
      <w:r w:rsidDel="00000000" w:rsidR="00000000" w:rsidRPr="00000000">
        <w:rPr>
          <w:rFonts w:ascii="Google Sans" w:cs="Google Sans" w:eastAsia="Google Sans" w:hAnsi="Google Sans"/>
          <w:b w:val="1"/>
          <w:bCs w:val="1"/>
          <w:color w:val="1f1f1f"/>
          <w:rtl w:val="0"/>
        </w:rPr>
        <w:t xml:space="preserve">Ley N° 21.719 sobre Protección y Tratamiento de los Datos Personales</w:t>
      </w:r>
      <w:r w:rsidDel="00000000" w:rsidR="00000000" w:rsidRPr="00000000">
        <w:rPr>
          <w:rFonts w:ascii="Google Sans" w:cs="Google Sans" w:eastAsia="Google Sans" w:hAnsi="Google Sans"/>
          <w:color w:val="1f1f1f"/>
          <w:rtl w:val="0"/>
        </w:rPr>
        <w:t xml:space="preserve">, cuya vigencia plena altera irreversiblemente el contrato de confianza institucional.</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normativa, que moderniza la infraestructura legal homologándola con el GDPR europeo, instaura la Agencia de Protección de Datos Personales (APDP) dotada de capacidades de fiscalización y multas severas.</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La plataforma integra el cumplimiento normativo en su diseño fundamental (Privacy by Design) de las siguientes maneras:</w:t>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Licitud, Consentimiento y Derechos ARCO</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Todo registro y seguimiento de solicitud requiere una base de licitud irrefutable.</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El frontend PWA exige consentimientos explícitos, específicos y revocables antes del almacenamiento de cualquier formulario, evitando asunciones tácitas.</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Además, el backend administrativo cuenta con flujos automatizados para que los usuarios ejerzan sus derechos de Acceso, Rectificación, Cancelación, Oposición y Portabilidad de manera autoservicio, garantizando que un usuario pueda extraer su historial de tickets o solicitar su eliminación inmediata.</w:t>
      </w:r>
      <w:r w:rsidDel="00000000" w:rsidR="00000000" w:rsidRPr="00000000">
        <w:rPr>
          <w:rFonts w:ascii="Google Sans" w:cs="Google Sans" w:eastAsia="Google Sans" w:hAnsi="Google Sans"/>
          <w:color w:val="444746"/>
          <w:sz w:val="24"/>
          <w:szCs w:val="24"/>
          <w:vertAlign w:val="superscript"/>
          <w:rtl w:val="0"/>
        </w:rPr>
        <w:t xml:space="preserve">55</w:t>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Minimización de Datos y Manejo de Datos Sensibles</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principio de minimización obliga legalmente a recopilar solo lo estrictamente necesario.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La arquitectura de generación dinámica mediante LLM es la respuesta tecnológica perfecta a esta exigencia: en lugar de presentar formularios monolíticos que exigen datos redundantes, el motor JSON Schema genera preguntas adaptativas que restringen la recolección exclusivamente al alcance del problema analizado.</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Especialmente en solicitudes interdepartamentales que involucren la salud, diagnósticos, expedientes de RR. HH. o apoyo psicológico (como el Programa de Apoyo al Estudiante), la ley clasifica dicha información como "Datos Sensibles".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El panel cPanel impone un Control de Acceso Basado en Roles (RBAC) con principios de privilegio mínimo; los agentes técnicos de TI encargados de la infraestructura no tienen permisos de lectura para acceder a las descripciones anidadas en las tarjetas Kanban que contienen datos psicosociales de RR. HH..</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Interacción con la Ley de Ciberseguridad (Ley N° 21.663) y Resiliencia</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interrelación con la Ley Marco de Ciberseguridad requiere que la arquitectura asegure la resiliencia sistémica y establezca procesos inmutables de auditoría.</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 El sistema de trazabilidad del panel de control documenta criptográficamente el ciclo de vida de los datos. En caso de detectarse un compromiso del servidor, una vulneración a la base de datos de los formularios o una exfiltración por parte de un agente, la plataforma está estructurada para emitir alertas automatizadas que posibilitan el reporte obligatorio del incidente a la Agencia y al Equipo de Respuesta ante Incidentes de Seguridad Informática (CSIRT) en un plazo no mayor a 72 horas, mitigando el impacto regulatorio para la empresa.</w:t>
      </w:r>
      <w:r w:rsidDel="00000000" w:rsidR="00000000" w:rsidRPr="00000000">
        <w:rPr>
          <w:rFonts w:ascii="Google Sans" w:cs="Google Sans" w:eastAsia="Google Sans" w:hAnsi="Google Sans"/>
          <w:color w:val="444746"/>
          <w:sz w:val="24"/>
          <w:szCs w:val="24"/>
          <w:vertAlign w:val="superscript"/>
          <w:rtl w:val="0"/>
        </w:rPr>
        <w:t xml:space="preserve">59</w:t>
      </w:r>
    </w:p>
    <w:p w:rsidR="00000000" w:rsidDel="00000000" w:rsidP="00000000" w:rsidRDefault="00000000" w:rsidRPr="00000000" w14:paraId="0000009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Conclusión Estratégica</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concepción de una plataforma de gestión de solicitudes moderna exige superar el enfoque mecanicista tradicional para adoptar una visión holística que respete tanto la arquitectura técnica como la ergonomía cognitiva humana. Los problemas más simples generan las mayores frustraciones cuando los procesos carecen de empatía e inteligencia estructural.</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arquitectura propuesta resuelve estas deficiencias en tres frentes integrados:</w:t>
      </w:r>
    </w:p>
    <w:p w:rsidR="00000000" w:rsidDel="00000000" w:rsidP="00000000" w:rsidRDefault="00000000" w:rsidRPr="00000000" w14:paraId="000000A1">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Un </w:t>
      </w:r>
      <w:r w:rsidDel="00000000" w:rsidR="00000000" w:rsidRPr="00000000">
        <w:rPr>
          <w:rFonts w:ascii="Google Sans" w:cs="Google Sans" w:eastAsia="Google Sans" w:hAnsi="Google Sans"/>
          <w:b w:val="1"/>
          <w:bCs w:val="1"/>
          <w:color w:val="1f1f1f"/>
          <w:rtl w:val="0"/>
        </w:rPr>
        <w:t xml:space="preserve">Frontend PWA</w:t>
      </w:r>
      <w:r w:rsidDel="00000000" w:rsidR="00000000" w:rsidRPr="00000000">
        <w:rPr>
          <w:rFonts w:ascii="Google Sans" w:cs="Google Sans" w:eastAsia="Google Sans" w:hAnsi="Google Sans"/>
          <w:color w:val="1f1f1f"/>
          <w:rtl w:val="0"/>
        </w:rPr>
        <w:t xml:space="preserve"> que erradica la fricción ambiental y asegura la continuidad operativa mediante tecnologías </w:t>
      </w:r>
      <w:r w:rsidDel="00000000" w:rsidR="00000000" w:rsidRPr="00000000">
        <w:rPr>
          <w:rFonts w:ascii="Google Sans" w:cs="Google Sans" w:eastAsia="Google Sans" w:hAnsi="Google Sans"/>
          <w:i w:val="1"/>
          <w:iCs w:val="1"/>
          <w:color w:val="1f1f1f"/>
          <w:rtl w:val="0"/>
        </w:rPr>
        <w:t xml:space="preserve">offline-first</w:t>
      </w:r>
      <w:r w:rsidDel="00000000" w:rsidR="00000000" w:rsidRPr="00000000">
        <w:rPr>
          <w:rFonts w:ascii="Google Sans" w:cs="Google Sans" w:eastAsia="Google Sans" w:hAnsi="Google Sans"/>
          <w:color w:val="1f1f1f"/>
          <w:rtl w:val="0"/>
        </w:rPr>
        <w:t xml:space="preserve">, respetando el valioso tiempo del usuario.</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A2">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Un </w:t>
      </w:r>
      <w:r w:rsidDel="00000000" w:rsidR="00000000" w:rsidRPr="00000000">
        <w:rPr>
          <w:rFonts w:ascii="Google Sans" w:cs="Google Sans" w:eastAsia="Google Sans" w:hAnsi="Google Sans"/>
          <w:b w:val="1"/>
          <w:bCs w:val="1"/>
          <w:color w:val="1f1f1f"/>
          <w:rtl w:val="0"/>
        </w:rPr>
        <w:t xml:space="preserve">Motor de Inteligencia Artificial (LLM/RAG)</w:t>
      </w:r>
      <w:r w:rsidDel="00000000" w:rsidR="00000000" w:rsidRPr="00000000">
        <w:rPr>
          <w:rFonts w:ascii="Google Sans" w:cs="Google Sans" w:eastAsia="Google Sans" w:hAnsi="Google Sans"/>
          <w:color w:val="1f1f1f"/>
          <w:rtl w:val="0"/>
        </w:rPr>
        <w:t xml:space="preserve"> que elimina el "sludge" burocrático, transformando interacciones empáticas y asincrónicas en esquemas JSON estrictos que garantizan el cumplimiento del principio de minimización de datos.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A3">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Un </w:t>
      </w:r>
      <w:r w:rsidDel="00000000" w:rsidR="00000000" w:rsidRPr="00000000">
        <w:rPr>
          <w:rFonts w:ascii="Google Sans" w:cs="Google Sans" w:eastAsia="Google Sans" w:hAnsi="Google Sans"/>
          <w:b w:val="1"/>
          <w:bCs w:val="1"/>
          <w:color w:val="1f1f1f"/>
          <w:rtl w:val="0"/>
        </w:rPr>
        <w:t xml:space="preserve">Backend Administrativo</w:t>
      </w:r>
      <w:r w:rsidDel="00000000" w:rsidR="00000000" w:rsidRPr="00000000">
        <w:rPr>
          <w:rFonts w:ascii="Google Sans" w:cs="Google Sans" w:eastAsia="Google Sans" w:hAnsi="Google Sans"/>
          <w:color w:val="1f1f1f"/>
          <w:rtl w:val="0"/>
        </w:rPr>
        <w:t xml:space="preserve"> construido sobre React y Tailwind CSS, donde una metodología Kanban hiper-específica y el monitoreo implacable de métricas ITSM (MTTR, FCR, Lead Time) permiten a los equipos interdepartamentales orquestar operaciones complejas con total visibilidad, responsabilidad y trazabilidad.</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 convergencia tecnológica asegura la fluidez en las operaciones interdepartamentales, fortalece el cumplimiento normativo exigido por la Ley N° 21.719 </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y garantiza que la gestión de solicitudes deje de ser una fuente de desgaste institucional para convertirse en un pilar dinámico de eficiencia y mejora continua.</w:t>
      </w:r>
    </w:p>
    <w:p w:rsidR="00000000" w:rsidDel="00000000" w:rsidP="00000000" w:rsidRDefault="00000000" w:rsidRPr="00000000" w14:paraId="000000A5">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Fuentes citadas</w:t>
      </w:r>
    </w:p>
    <w:p w:rsidR="00000000" w:rsidDel="00000000" w:rsidP="00000000" w:rsidRDefault="00000000" w:rsidRPr="00000000" w14:paraId="000000A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Rediseño de formulario para estudiantes..docx</w:t>
      </w:r>
    </w:p>
    <w:p w:rsidR="00000000" w:rsidDel="00000000" w:rsidP="00000000" w:rsidRDefault="00000000" w:rsidRPr="00000000" w14:paraId="000000A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Principales capacidades de ITSM: mejora de su estrategia de administración de servicios de TI - Serviceaide, acceso: abril 25, 2026, </w:t>
      </w:r>
      <w:hyperlink r:id="rId6">
        <w:r w:rsidDel="00000000" w:rsidR="00000000" w:rsidRPr="00000000">
          <w:rPr>
            <w:rFonts w:ascii="Google Sans" w:cs="Google Sans" w:eastAsia="Google Sans" w:hAnsi="Google Sans"/>
            <w:color w:val="0000ee"/>
            <w:sz w:val="24"/>
            <w:szCs w:val="24"/>
            <w:u w:val="single"/>
            <w:rtl w:val="0"/>
          </w:rPr>
          <w:t xml:space="preserve">https://www.serviceaide.com/es/resources/blog/top-itsm-capabilities</w:t>
        </w:r>
      </w:hyperlink>
      <w:r w:rsidDel="00000000" w:rsidR="00000000" w:rsidRPr="00000000">
        <w:rPr>
          <w:rtl w:val="0"/>
        </w:rPr>
      </w:r>
    </w:p>
    <w:p w:rsidR="00000000" w:rsidDel="00000000" w:rsidP="00000000" w:rsidRDefault="00000000" w:rsidRPr="00000000" w14:paraId="000000A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ITSM metrics: What to measure and why it matters - Zendesk, acceso: abril 25, 2026, </w:t>
      </w:r>
      <w:hyperlink r:id="rId7">
        <w:r w:rsidDel="00000000" w:rsidR="00000000" w:rsidRPr="00000000">
          <w:rPr>
            <w:rFonts w:ascii="Google Sans" w:cs="Google Sans" w:eastAsia="Google Sans" w:hAnsi="Google Sans"/>
            <w:color w:val="0000ee"/>
            <w:sz w:val="24"/>
            <w:szCs w:val="24"/>
            <w:u w:val="single"/>
            <w:rtl w:val="0"/>
          </w:rPr>
          <w:t xml:space="preserve">https://www.zendesk.com/blog/itsm-metrics/</w:t>
        </w:r>
      </w:hyperlink>
      <w:r w:rsidDel="00000000" w:rsidR="00000000" w:rsidRPr="00000000">
        <w:rPr>
          <w:rtl w:val="0"/>
        </w:rPr>
      </w:r>
    </w:p>
    <w:p w:rsidR="00000000" w:rsidDel="00000000" w:rsidP="00000000" w:rsidRDefault="00000000" w:rsidRPr="00000000" w14:paraId="000000A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¿Qué es un Acuerdo de Nivel de Servicio (SLA)? - InvGate, acceso: abril 25, 2026, </w:t>
      </w:r>
      <w:hyperlink r:id="rId8">
        <w:r w:rsidDel="00000000" w:rsidR="00000000" w:rsidRPr="00000000">
          <w:rPr>
            <w:rFonts w:ascii="Google Sans" w:cs="Google Sans" w:eastAsia="Google Sans" w:hAnsi="Google Sans"/>
            <w:color w:val="0000ee"/>
            <w:sz w:val="24"/>
            <w:szCs w:val="24"/>
            <w:u w:val="single"/>
            <w:rtl w:val="0"/>
          </w:rPr>
          <w:t xml:space="preserve">https://invgate.com/es/itsm/service-level-management/service-level-agreement</w:t>
        </w:r>
      </w:hyperlink>
      <w:r w:rsidDel="00000000" w:rsidR="00000000" w:rsidRPr="00000000">
        <w:rPr>
          <w:rtl w:val="0"/>
        </w:rPr>
      </w:r>
    </w:p>
    <w:p w:rsidR="00000000" w:rsidDel="00000000" w:rsidP="00000000" w:rsidRDefault="00000000" w:rsidRPr="00000000" w14:paraId="000000A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8 most important ITSM metrics and best practices - OTRS, acceso: abril 25, 2026, </w:t>
      </w:r>
      <w:hyperlink r:id="rId9">
        <w:r w:rsidDel="00000000" w:rsidR="00000000" w:rsidRPr="00000000">
          <w:rPr>
            <w:rFonts w:ascii="Google Sans" w:cs="Google Sans" w:eastAsia="Google Sans" w:hAnsi="Google Sans"/>
            <w:color w:val="0000ee"/>
            <w:sz w:val="24"/>
            <w:szCs w:val="24"/>
            <w:u w:val="single"/>
            <w:rtl w:val="0"/>
          </w:rPr>
          <w:t xml:space="preserve">https://otrs.com/blog/itsm/itsm-metrics/</w:t>
        </w:r>
      </w:hyperlink>
      <w:r w:rsidDel="00000000" w:rsidR="00000000" w:rsidRPr="00000000">
        <w:rPr>
          <w:rtl w:val="0"/>
        </w:rPr>
      </w:r>
    </w:p>
    <w:p w:rsidR="00000000" w:rsidDel="00000000" w:rsidP="00000000" w:rsidRDefault="00000000" w:rsidRPr="00000000" w14:paraId="000000A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Service Request Management: Process, Benefits &amp; Best Practices - Infraon, acceso: abril 25, 2026, </w:t>
      </w:r>
      <w:hyperlink r:id="rId10">
        <w:r w:rsidDel="00000000" w:rsidR="00000000" w:rsidRPr="00000000">
          <w:rPr>
            <w:rFonts w:ascii="Google Sans" w:cs="Google Sans" w:eastAsia="Google Sans" w:hAnsi="Google Sans"/>
            <w:color w:val="0000ee"/>
            <w:sz w:val="24"/>
            <w:szCs w:val="24"/>
            <w:u w:val="single"/>
            <w:rtl w:val="0"/>
          </w:rPr>
          <w:t xml:space="preserve">https://infraon.io/blog/service-request-management-best-practices/</w:t>
        </w:r>
      </w:hyperlink>
      <w:r w:rsidDel="00000000" w:rsidR="00000000" w:rsidRPr="00000000">
        <w:rPr>
          <w:rtl w:val="0"/>
        </w:rPr>
      </w:r>
    </w:p>
    <w:p w:rsidR="00000000" w:rsidDel="00000000" w:rsidP="00000000" w:rsidRDefault="00000000" w:rsidRPr="00000000" w14:paraId="000000A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Principales estrategias de ITSM Dashboard para mejorar la información sobre la gestión de servicios - Serviceaide, acceso: abril 25, 2026, </w:t>
      </w:r>
      <w:hyperlink r:id="rId11">
        <w:r w:rsidDel="00000000" w:rsidR="00000000" w:rsidRPr="00000000">
          <w:rPr>
            <w:rFonts w:ascii="Google Sans" w:cs="Google Sans" w:eastAsia="Google Sans" w:hAnsi="Google Sans"/>
            <w:color w:val="0000ee"/>
            <w:sz w:val="24"/>
            <w:szCs w:val="24"/>
            <w:u w:val="single"/>
            <w:rtl w:val="0"/>
          </w:rPr>
          <w:t xml:space="preserve">https://www.serviceaide.com/es/resources/blog/itsm-dashboard</w:t>
        </w:r>
      </w:hyperlink>
      <w:r w:rsidDel="00000000" w:rsidR="00000000" w:rsidRPr="00000000">
        <w:rPr>
          <w:rtl w:val="0"/>
        </w:rPr>
      </w:r>
    </w:p>
    <w:p w:rsidR="00000000" w:rsidDel="00000000" w:rsidP="00000000" w:rsidRDefault="00000000" w:rsidRPr="00000000" w14:paraId="000000A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Jira Service Management charts for ITSM dashboards - Tempo Software, acceso: abril 25, 2026, </w:t>
      </w:r>
      <w:hyperlink r:id="rId12">
        <w:r w:rsidDel="00000000" w:rsidR="00000000" w:rsidRPr="00000000">
          <w:rPr>
            <w:rFonts w:ascii="Google Sans" w:cs="Google Sans" w:eastAsia="Google Sans" w:hAnsi="Google Sans"/>
            <w:color w:val="0000ee"/>
            <w:sz w:val="24"/>
            <w:szCs w:val="24"/>
            <w:u w:val="single"/>
            <w:rtl w:val="0"/>
          </w:rPr>
          <w:t xml:space="preserve">https://www.tempo.io/blog/jsm-charts-for-itsm-dashboards</w:t>
        </w:r>
      </w:hyperlink>
      <w:r w:rsidDel="00000000" w:rsidR="00000000" w:rsidRPr="00000000">
        <w:rPr>
          <w:rtl w:val="0"/>
        </w:rPr>
      </w:r>
    </w:p>
    <w:p w:rsidR="00000000" w:rsidDel="00000000" w:rsidP="00000000" w:rsidRDefault="00000000" w:rsidRPr="00000000" w14:paraId="000000A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Service Request Management? Process &amp; Best Practices - Freshworks, acceso: abril 25, 2026, </w:t>
      </w:r>
      <w:hyperlink r:id="rId13">
        <w:r w:rsidDel="00000000" w:rsidR="00000000" w:rsidRPr="00000000">
          <w:rPr>
            <w:rFonts w:ascii="Google Sans" w:cs="Google Sans" w:eastAsia="Google Sans" w:hAnsi="Google Sans"/>
            <w:color w:val="0000ee"/>
            <w:sz w:val="24"/>
            <w:szCs w:val="24"/>
            <w:u w:val="single"/>
            <w:rtl w:val="0"/>
          </w:rPr>
          <w:t xml:space="preserve">https://www.freshworks.com/itsm/service-request-management/</w:t>
        </w:r>
      </w:hyperlink>
      <w:r w:rsidDel="00000000" w:rsidR="00000000" w:rsidRPr="00000000">
        <w:rPr>
          <w:rtl w:val="0"/>
        </w:rPr>
      </w:r>
    </w:p>
    <w:p w:rsidR="00000000" w:rsidDel="00000000" w:rsidP="00000000" w:rsidRDefault="00000000" w:rsidRPr="00000000" w14:paraId="000000A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Workflow for Higher Education: Implementation Guide (2026) - Engineerica, acceso: abril 25, 2026, </w:t>
      </w:r>
      <w:hyperlink r:id="rId14">
        <w:r w:rsidDel="00000000" w:rsidR="00000000" w:rsidRPr="00000000">
          <w:rPr>
            <w:rFonts w:ascii="Google Sans" w:cs="Google Sans" w:eastAsia="Google Sans" w:hAnsi="Google Sans"/>
            <w:color w:val="0000ee"/>
            <w:sz w:val="24"/>
            <w:szCs w:val="24"/>
            <w:u w:val="single"/>
            <w:rtl w:val="0"/>
          </w:rPr>
          <w:t xml:space="preserve">https://www.engineerica.com/academic-centers/post/workflow-for-higher-education/</w:t>
        </w:r>
      </w:hyperlink>
      <w:r w:rsidDel="00000000" w:rsidR="00000000" w:rsidRPr="00000000">
        <w:rPr>
          <w:rtl w:val="0"/>
        </w:rPr>
      </w:r>
    </w:p>
    <w:p w:rsidR="00000000" w:rsidDel="00000000" w:rsidP="00000000" w:rsidRDefault="00000000" w:rsidRPr="00000000" w14:paraId="000000B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¿Qué es la Gestión de Servicios de TI (ITSM)? | APMG International, acceso: abril 25, 2026, </w:t>
      </w:r>
      <w:hyperlink r:id="rId15">
        <w:r w:rsidDel="00000000" w:rsidR="00000000" w:rsidRPr="00000000">
          <w:rPr>
            <w:rFonts w:ascii="Google Sans" w:cs="Google Sans" w:eastAsia="Google Sans" w:hAnsi="Google Sans"/>
            <w:color w:val="0000ee"/>
            <w:sz w:val="24"/>
            <w:szCs w:val="24"/>
            <w:u w:val="single"/>
            <w:rtl w:val="0"/>
          </w:rPr>
          <w:t xml:space="preserve">https://apmg-international.com/es/article/que-es-la-gestion-de-servicios-de-ti-itsm</w:t>
        </w:r>
      </w:hyperlink>
      <w:r w:rsidDel="00000000" w:rsidR="00000000" w:rsidRPr="00000000">
        <w:rPr>
          <w:rtl w:val="0"/>
        </w:rPr>
      </w:r>
    </w:p>
    <w:p w:rsidR="00000000" w:rsidDel="00000000" w:rsidP="00000000" w:rsidRDefault="00000000" w:rsidRPr="00000000" w14:paraId="000000B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ITSM (gestión de servicios de TI): todo lo que necesitas saber - Splashtop, acceso: abril 25, 2026, </w:t>
      </w:r>
      <w:hyperlink r:id="rId16">
        <w:r w:rsidDel="00000000" w:rsidR="00000000" w:rsidRPr="00000000">
          <w:rPr>
            <w:rFonts w:ascii="Google Sans" w:cs="Google Sans" w:eastAsia="Google Sans" w:hAnsi="Google Sans"/>
            <w:color w:val="0000ee"/>
            <w:sz w:val="24"/>
            <w:szCs w:val="24"/>
            <w:u w:val="single"/>
            <w:rtl w:val="0"/>
          </w:rPr>
          <w:t xml:space="preserve">https://www.splashtop.com/es/blog/itsm</w:t>
        </w:r>
      </w:hyperlink>
      <w:r w:rsidDel="00000000" w:rsidR="00000000" w:rsidRPr="00000000">
        <w:rPr>
          <w:rtl w:val="0"/>
        </w:rPr>
      </w:r>
    </w:p>
    <w:p w:rsidR="00000000" w:rsidDel="00000000" w:rsidP="00000000" w:rsidRDefault="00000000" w:rsidRPr="00000000" w14:paraId="000000B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Dynamically Create Forms from JSON Schemas with SurveyJS, acceso: abril 25, 2026, </w:t>
      </w:r>
      <w:hyperlink r:id="rId17">
        <w:r w:rsidDel="00000000" w:rsidR="00000000" w:rsidRPr="00000000">
          <w:rPr>
            <w:rFonts w:ascii="Google Sans" w:cs="Google Sans" w:eastAsia="Google Sans" w:hAnsi="Google Sans"/>
            <w:color w:val="0000ee"/>
            <w:sz w:val="24"/>
            <w:szCs w:val="24"/>
            <w:u w:val="single"/>
            <w:rtl w:val="0"/>
          </w:rPr>
          <w:t xml:space="preserve">https://surveyjs.io/stay-updated/blog/dynamically-create-forms-from-json-schema</w:t>
        </w:r>
      </w:hyperlink>
      <w:r w:rsidDel="00000000" w:rsidR="00000000" w:rsidRPr="00000000">
        <w:rPr>
          <w:rtl w:val="0"/>
        </w:rPr>
      </w:r>
    </w:p>
    <w:p w:rsidR="00000000" w:rsidDel="00000000" w:rsidP="00000000" w:rsidRDefault="00000000" w:rsidRPr="00000000" w14:paraId="000000B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Tipos de métricas del acuerdo de nivel de servicio (SLA) - IBM, acceso: abril 25, 2026, </w:t>
      </w:r>
      <w:hyperlink r:id="rId18">
        <w:r w:rsidDel="00000000" w:rsidR="00000000" w:rsidRPr="00000000">
          <w:rPr>
            <w:rFonts w:ascii="Google Sans" w:cs="Google Sans" w:eastAsia="Google Sans" w:hAnsi="Google Sans"/>
            <w:color w:val="0000ee"/>
            <w:sz w:val="24"/>
            <w:szCs w:val="24"/>
            <w:u w:val="single"/>
            <w:rtl w:val="0"/>
          </w:rPr>
          <w:t xml:space="preserve">https://www.ibm.com/mx-es/think/topics/sla-metrics</w:t>
        </w:r>
      </w:hyperlink>
      <w:r w:rsidDel="00000000" w:rsidR="00000000" w:rsidRPr="00000000">
        <w:rPr>
          <w:rtl w:val="0"/>
        </w:rPr>
      </w:r>
    </w:p>
    <w:p w:rsidR="00000000" w:rsidDel="00000000" w:rsidP="00000000" w:rsidRDefault="00000000" w:rsidRPr="00000000" w14:paraId="000000B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11 ITSM Best Practices Every IT Team Should Follow in 2025 - Freshworks, acceso: abril 25, 2026, </w:t>
      </w:r>
      <w:hyperlink r:id="rId19">
        <w:r w:rsidDel="00000000" w:rsidR="00000000" w:rsidRPr="00000000">
          <w:rPr>
            <w:rFonts w:ascii="Google Sans" w:cs="Google Sans" w:eastAsia="Google Sans" w:hAnsi="Google Sans"/>
            <w:color w:val="0000ee"/>
            <w:sz w:val="24"/>
            <w:szCs w:val="24"/>
            <w:u w:val="single"/>
            <w:rtl w:val="0"/>
          </w:rPr>
          <w:t xml:space="preserve">https://www.freshworks.com/itsm/best-practices/</w:t>
        </w:r>
      </w:hyperlink>
      <w:r w:rsidDel="00000000" w:rsidR="00000000" w:rsidRPr="00000000">
        <w:rPr>
          <w:rtl w:val="0"/>
        </w:rPr>
      </w:r>
    </w:p>
    <w:p w:rsidR="00000000" w:rsidDel="00000000" w:rsidP="00000000" w:rsidRDefault="00000000" w:rsidRPr="00000000" w14:paraId="000000B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PWA 2.0 &amp; Edge Runtime: Next-Gen Progressive Web Apps 2026 - Zignuts Technolab, acceso: abril 25, 2026, </w:t>
      </w:r>
      <w:hyperlink r:id="rId20">
        <w:r w:rsidDel="00000000" w:rsidR="00000000" w:rsidRPr="00000000">
          <w:rPr>
            <w:rFonts w:ascii="Google Sans" w:cs="Google Sans" w:eastAsia="Google Sans" w:hAnsi="Google Sans"/>
            <w:color w:val="0000ee"/>
            <w:sz w:val="24"/>
            <w:szCs w:val="24"/>
            <w:u w:val="single"/>
            <w:rtl w:val="0"/>
          </w:rPr>
          <w:t xml:space="preserve">https://www.zignuts.com/blog/pwa-2-0-edge-runtime-full-stack-2026</w:t>
        </w:r>
      </w:hyperlink>
      <w:r w:rsidDel="00000000" w:rsidR="00000000" w:rsidRPr="00000000">
        <w:rPr>
          <w:rtl w:val="0"/>
        </w:rPr>
      </w:r>
    </w:p>
    <w:p w:rsidR="00000000" w:rsidDel="00000000" w:rsidP="00000000" w:rsidRDefault="00000000" w:rsidRPr="00000000" w14:paraId="000000B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Progressive Web App UX Tips &amp; Design Strategies 2025 | Lollypop, acceso: abril 25, 2026, </w:t>
      </w:r>
      <w:hyperlink r:id="rId21">
        <w:r w:rsidDel="00000000" w:rsidR="00000000" w:rsidRPr="00000000">
          <w:rPr>
            <w:rFonts w:ascii="Google Sans" w:cs="Google Sans" w:eastAsia="Google Sans" w:hAnsi="Google Sans"/>
            <w:color w:val="0000ee"/>
            <w:sz w:val="24"/>
            <w:szCs w:val="24"/>
            <w:u w:val="single"/>
            <w:rtl w:val="0"/>
          </w:rPr>
          <w:t xml:space="preserve">https://lollypop.design/blog/2025/september/progressive-web-app-ux-tips-2025/</w:t>
        </w:r>
      </w:hyperlink>
      <w:r w:rsidDel="00000000" w:rsidR="00000000" w:rsidRPr="00000000">
        <w:rPr>
          <w:rtl w:val="0"/>
        </w:rPr>
      </w:r>
    </w:p>
    <w:p w:rsidR="00000000" w:rsidDel="00000000" w:rsidP="00000000" w:rsidRDefault="00000000" w:rsidRPr="00000000" w14:paraId="000000B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7 Progressive Web App Development Frameworks [2025] - GeeksforGeeks, acceso: abril 25, 2026, </w:t>
      </w:r>
      <w:hyperlink r:id="rId22">
        <w:r w:rsidDel="00000000" w:rsidR="00000000" w:rsidRPr="00000000">
          <w:rPr>
            <w:rFonts w:ascii="Google Sans" w:cs="Google Sans" w:eastAsia="Google Sans" w:hAnsi="Google Sans"/>
            <w:color w:val="0000ee"/>
            <w:sz w:val="24"/>
            <w:szCs w:val="24"/>
            <w:u w:val="single"/>
            <w:rtl w:val="0"/>
          </w:rPr>
          <w:t xml:space="preserve">https://www.geeksforgeeks.org/blogs/progressive-web-app-development-frameworks/</w:t>
        </w:r>
      </w:hyperlink>
      <w:r w:rsidDel="00000000" w:rsidR="00000000" w:rsidRPr="00000000">
        <w:rPr>
          <w:rtl w:val="0"/>
        </w:rPr>
      </w:r>
    </w:p>
    <w:p w:rsidR="00000000" w:rsidDel="00000000" w:rsidP="00000000" w:rsidRDefault="00000000" w:rsidRPr="00000000" w14:paraId="000000B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React + Vite + Tailwind Is the Future of Web Development in 2026 - Devōt, acceso: abril 25, 2026, </w:t>
      </w:r>
      <w:hyperlink r:id="rId23">
        <w:r w:rsidDel="00000000" w:rsidR="00000000" w:rsidRPr="00000000">
          <w:rPr>
            <w:rFonts w:ascii="Google Sans" w:cs="Google Sans" w:eastAsia="Google Sans" w:hAnsi="Google Sans"/>
            <w:color w:val="0000ee"/>
            <w:sz w:val="24"/>
            <w:szCs w:val="24"/>
            <w:u w:val="single"/>
            <w:rtl w:val="0"/>
          </w:rPr>
          <w:t xml:space="preserve">https://devot.team/blog/react-vite</w:t>
        </w:r>
      </w:hyperlink>
      <w:r w:rsidDel="00000000" w:rsidR="00000000" w:rsidRPr="00000000">
        <w:rPr>
          <w:rtl w:val="0"/>
        </w:rPr>
      </w:r>
    </w:p>
    <w:p w:rsidR="00000000" w:rsidDel="00000000" w:rsidP="00000000" w:rsidRDefault="00000000" w:rsidRPr="00000000" w14:paraId="000000B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Fastest Web Development Frameworks in 2026: Speed, Scalability &amp; Use Cases, acceso: abril 25, 2026, </w:t>
      </w:r>
      <w:hyperlink r:id="rId24">
        <w:r w:rsidDel="00000000" w:rsidR="00000000" w:rsidRPr="00000000">
          <w:rPr>
            <w:rFonts w:ascii="Google Sans" w:cs="Google Sans" w:eastAsia="Google Sans" w:hAnsi="Google Sans"/>
            <w:color w:val="0000ee"/>
            <w:sz w:val="24"/>
            <w:szCs w:val="24"/>
            <w:u w:val="single"/>
            <w:rtl w:val="0"/>
          </w:rPr>
          <w:t xml:space="preserve">https://beanstalkwebsolutions.com/blog/fastest-web-development-frameworks/</w:t>
        </w:r>
      </w:hyperlink>
      <w:r w:rsidDel="00000000" w:rsidR="00000000" w:rsidRPr="00000000">
        <w:rPr>
          <w:rtl w:val="0"/>
        </w:rPr>
      </w:r>
    </w:p>
    <w:p w:rsidR="00000000" w:rsidDel="00000000" w:rsidP="00000000" w:rsidRDefault="00000000" w:rsidRPr="00000000" w14:paraId="000000B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26 Best Tailwind CSS Admin Dashboard Templates (2026) - AdminLTE, acceso: abril 25, 2026, </w:t>
      </w:r>
      <w:hyperlink r:id="rId25">
        <w:r w:rsidDel="00000000" w:rsidR="00000000" w:rsidRPr="00000000">
          <w:rPr>
            <w:rFonts w:ascii="Google Sans" w:cs="Google Sans" w:eastAsia="Google Sans" w:hAnsi="Google Sans"/>
            <w:color w:val="0000ee"/>
            <w:sz w:val="24"/>
            <w:szCs w:val="24"/>
            <w:u w:val="single"/>
            <w:rtl w:val="0"/>
          </w:rPr>
          <w:t xml:space="preserve">https://adminlte.io/blog/tailwind-css-admin-and-dashboard-templates/</w:t>
        </w:r>
      </w:hyperlink>
      <w:r w:rsidDel="00000000" w:rsidR="00000000" w:rsidRPr="00000000">
        <w:rPr>
          <w:rtl w:val="0"/>
        </w:rPr>
      </w:r>
    </w:p>
    <w:p w:rsidR="00000000" w:rsidDel="00000000" w:rsidP="00000000" w:rsidRDefault="00000000" w:rsidRPr="00000000" w14:paraId="000000B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Offline data - web.dev, acceso: abril 25, 2026, </w:t>
      </w:r>
      <w:hyperlink r:id="rId26">
        <w:r w:rsidDel="00000000" w:rsidR="00000000" w:rsidRPr="00000000">
          <w:rPr>
            <w:rFonts w:ascii="Google Sans" w:cs="Google Sans" w:eastAsia="Google Sans" w:hAnsi="Google Sans"/>
            <w:color w:val="0000ee"/>
            <w:sz w:val="24"/>
            <w:szCs w:val="24"/>
            <w:u w:val="single"/>
            <w:rtl w:val="0"/>
          </w:rPr>
          <w:t xml:space="preserve">https://web.dev/learn/pwa/offline-data</w:t>
        </w:r>
      </w:hyperlink>
      <w:r w:rsidDel="00000000" w:rsidR="00000000" w:rsidRPr="00000000">
        <w:rPr>
          <w:rtl w:val="0"/>
        </w:rPr>
      </w:r>
    </w:p>
    <w:p w:rsidR="00000000" w:rsidDel="00000000" w:rsidP="00000000" w:rsidRDefault="00000000" w:rsidRPr="00000000" w14:paraId="000000B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Offline and background operation - Progressive web apps | MDN, acceso: abril 25, 2026, </w:t>
      </w:r>
      <w:hyperlink r:id="rId27">
        <w:r w:rsidDel="00000000" w:rsidR="00000000" w:rsidRPr="00000000">
          <w:rPr>
            <w:rFonts w:ascii="Google Sans" w:cs="Google Sans" w:eastAsia="Google Sans" w:hAnsi="Google Sans"/>
            <w:color w:val="0000ee"/>
            <w:sz w:val="24"/>
            <w:szCs w:val="24"/>
            <w:u w:val="single"/>
            <w:rtl w:val="0"/>
          </w:rPr>
          <w:t xml:space="preserve">https://developer.mozilla.org/en-US/docs/Web/Progressive_web_apps/Guides/Offline_and_background_operation</w:t>
        </w:r>
      </w:hyperlink>
      <w:r w:rsidDel="00000000" w:rsidR="00000000" w:rsidRPr="00000000">
        <w:rPr>
          <w:rtl w:val="0"/>
        </w:rPr>
      </w:r>
    </w:p>
    <w:p w:rsidR="00000000" w:rsidDel="00000000" w:rsidP="00000000" w:rsidRDefault="00000000" w:rsidRPr="00000000" w14:paraId="000000B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Progressive Web Apps 2026: Complete Development Guide - Digital Applied, acceso: abril 25, 2026, </w:t>
      </w:r>
      <w:hyperlink r:id="rId28">
        <w:r w:rsidDel="00000000" w:rsidR="00000000" w:rsidRPr="00000000">
          <w:rPr>
            <w:rFonts w:ascii="Google Sans" w:cs="Google Sans" w:eastAsia="Google Sans" w:hAnsi="Google Sans"/>
            <w:color w:val="0000ee"/>
            <w:sz w:val="24"/>
            <w:szCs w:val="24"/>
            <w:u w:val="single"/>
            <w:rtl w:val="0"/>
          </w:rPr>
          <w:t xml:space="preserve">https://www.digitalapplied.com/blog/progressive-web-apps-2026-complete-development-guide</w:t>
        </w:r>
      </w:hyperlink>
      <w:r w:rsidDel="00000000" w:rsidR="00000000" w:rsidRPr="00000000">
        <w:rPr>
          <w:rtl w:val="0"/>
        </w:rPr>
      </w:r>
    </w:p>
    <w:p w:rsidR="00000000" w:rsidDel="00000000" w:rsidP="00000000" w:rsidRDefault="00000000" w:rsidRPr="00000000" w14:paraId="000000B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Real Progressive Web Apps in 2025 — Lessons from the Trenches | by Ancilar | Blockchain Services | Medium, acceso: abril 25, 2026, </w:t>
      </w:r>
      <w:hyperlink r:id="rId29">
        <w:r w:rsidDel="00000000" w:rsidR="00000000" w:rsidRPr="00000000">
          <w:rPr>
            <w:rFonts w:ascii="Google Sans" w:cs="Google Sans" w:eastAsia="Google Sans" w:hAnsi="Google Sans"/>
            <w:color w:val="0000ee"/>
            <w:sz w:val="24"/>
            <w:szCs w:val="24"/>
            <w:u w:val="single"/>
            <w:rtl w:val="0"/>
          </w:rPr>
          <w:t xml:space="preserve">https://medium.com/@ancilartech/building-real-progressive-web-apps-in-2025-lessons-from-the-trenches-23422e1970d6</w:t>
        </w:r>
      </w:hyperlink>
      <w:r w:rsidDel="00000000" w:rsidR="00000000" w:rsidRPr="00000000">
        <w:rPr>
          <w:rtl w:val="0"/>
        </w:rPr>
      </w:r>
    </w:p>
    <w:p w:rsidR="00000000" w:rsidDel="00000000" w:rsidP="00000000" w:rsidRDefault="00000000" w:rsidRPr="00000000" w14:paraId="000000B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LLM-Based Structured Generation Using JSONSchema | by Damodharan Jay | Medium, acceso: abril 25, 2026, </w:t>
      </w:r>
      <w:hyperlink r:id="rId30">
        <w:r w:rsidDel="00000000" w:rsidR="00000000" w:rsidRPr="00000000">
          <w:rPr>
            <w:rFonts w:ascii="Google Sans" w:cs="Google Sans" w:eastAsia="Google Sans" w:hAnsi="Google Sans"/>
            <w:color w:val="0000ee"/>
            <w:sz w:val="24"/>
            <w:szCs w:val="24"/>
            <w:u w:val="single"/>
            <w:rtl w:val="0"/>
          </w:rPr>
          <w:t xml:space="preserve">https://medium.com/@damodharanjay/llm-based-structured-generation-using-jsonschema-139568c4f7c9</w:t>
        </w:r>
      </w:hyperlink>
      <w:r w:rsidDel="00000000" w:rsidR="00000000" w:rsidRPr="00000000">
        <w:rPr>
          <w:rtl w:val="0"/>
        </w:rPr>
      </w:r>
    </w:p>
    <w:p w:rsidR="00000000" w:rsidDel="00000000" w:rsidP="00000000" w:rsidRDefault="00000000" w:rsidRPr="00000000" w14:paraId="000000C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 Output Parsing and Structured Generation Guide - Tetrate, acceso: abril 25, 2026, </w:t>
      </w:r>
      <w:hyperlink r:id="rId31">
        <w:r w:rsidDel="00000000" w:rsidR="00000000" w:rsidRPr="00000000">
          <w:rPr>
            <w:rFonts w:ascii="Google Sans" w:cs="Google Sans" w:eastAsia="Google Sans" w:hAnsi="Google Sans"/>
            <w:color w:val="0000ee"/>
            <w:sz w:val="24"/>
            <w:szCs w:val="24"/>
            <w:u w:val="single"/>
            <w:rtl w:val="0"/>
          </w:rPr>
          <w:t xml:space="preserve">https://tetrate.io/learn/ai/llm-output-parsing-structured-generation</w:t>
        </w:r>
      </w:hyperlink>
      <w:r w:rsidDel="00000000" w:rsidR="00000000" w:rsidRPr="00000000">
        <w:rPr>
          <w:rtl w:val="0"/>
        </w:rPr>
      </w:r>
    </w:p>
    <w:p w:rsidR="00000000" w:rsidDel="00000000" w:rsidP="00000000" w:rsidRDefault="00000000" w:rsidRPr="00000000" w14:paraId="000000C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Beyond JSON: Picking the Right Format for LLM Pipelines - Medium, acceso: abril 25, 2026, </w:t>
      </w:r>
      <w:hyperlink r:id="rId32">
        <w:r w:rsidDel="00000000" w:rsidR="00000000" w:rsidRPr="00000000">
          <w:rPr>
            <w:rFonts w:ascii="Google Sans" w:cs="Google Sans" w:eastAsia="Google Sans" w:hAnsi="Google Sans"/>
            <w:color w:val="0000ee"/>
            <w:sz w:val="24"/>
            <w:szCs w:val="24"/>
            <w:u w:val="single"/>
            <w:rtl w:val="0"/>
          </w:rPr>
          <w:t xml:space="preserve">https://medium.com/@michael.hannecke/beyond-json-picking-the-right-format-for-llm-pipelines-b65f15f77f7d</w:t>
        </w:r>
      </w:hyperlink>
      <w:r w:rsidDel="00000000" w:rsidR="00000000" w:rsidRPr="00000000">
        <w:rPr>
          <w:rtl w:val="0"/>
        </w:rPr>
      </w:r>
    </w:p>
    <w:p w:rsidR="00000000" w:rsidDel="00000000" w:rsidP="00000000" w:rsidRDefault="00000000" w:rsidRPr="00000000" w14:paraId="000000C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Conversations That Replace Forms - WyeWorks Blog, acceso: abril 25, 2026, </w:t>
      </w:r>
      <w:hyperlink r:id="rId33">
        <w:r w:rsidDel="00000000" w:rsidR="00000000" w:rsidRPr="00000000">
          <w:rPr>
            <w:rFonts w:ascii="Google Sans" w:cs="Google Sans" w:eastAsia="Google Sans" w:hAnsi="Google Sans"/>
            <w:color w:val="0000ee"/>
            <w:sz w:val="24"/>
            <w:szCs w:val="24"/>
            <w:u w:val="single"/>
            <w:rtl w:val="0"/>
          </w:rPr>
          <w:t xml:space="preserve">https://wyeworks.com/blog/2025/08/01/ai-conversations-that-replace-forms/</w:t>
        </w:r>
      </w:hyperlink>
      <w:r w:rsidDel="00000000" w:rsidR="00000000" w:rsidRPr="00000000">
        <w:rPr>
          <w:rtl w:val="0"/>
        </w:rPr>
      </w:r>
    </w:p>
    <w:p w:rsidR="00000000" w:rsidDel="00000000" w:rsidP="00000000" w:rsidRDefault="00000000" w:rsidRPr="00000000" w14:paraId="000000C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Learning Dynamic Context Management in LLMs through Human-in-the-Loop Curation: A Proposed Framework: From Basic Tools to Hierarchical Abstraction | by Micheal Bee | Medium, acceso: abril 25, 2026, </w:t>
      </w:r>
      <w:hyperlink r:id="rId34">
        <w:r w:rsidDel="00000000" w:rsidR="00000000" w:rsidRPr="00000000">
          <w:rPr>
            <w:rFonts w:ascii="Google Sans" w:cs="Google Sans" w:eastAsia="Google Sans" w:hAnsi="Google Sans"/>
            <w:color w:val="0000ee"/>
            <w:sz w:val="24"/>
            <w:szCs w:val="24"/>
            <w:u w:val="single"/>
            <w:rtl w:val="0"/>
          </w:rPr>
          <w:t xml:space="preserve">https://medium.com/@mbonsign/learning-dynamic-context-management-in-llms-through-human-in-the-loop-curation-a-proposed-0029a4e9d06e</w:t>
        </w:r>
      </w:hyperlink>
      <w:r w:rsidDel="00000000" w:rsidR="00000000" w:rsidRPr="00000000">
        <w:rPr>
          <w:rtl w:val="0"/>
        </w:rPr>
      </w:r>
    </w:p>
    <w:p w:rsidR="00000000" w:rsidDel="00000000" w:rsidP="00000000" w:rsidRDefault="00000000" w:rsidRPr="00000000" w14:paraId="000000C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 Conversational Document Processing Platform with LLM Tools | by vimal negi, acceso: abril 25, 2026, </w:t>
      </w:r>
      <w:hyperlink r:id="rId35">
        <w:r w:rsidDel="00000000" w:rsidR="00000000" w:rsidRPr="00000000">
          <w:rPr>
            <w:rFonts w:ascii="Google Sans" w:cs="Google Sans" w:eastAsia="Google Sans" w:hAnsi="Google Sans"/>
            <w:color w:val="0000ee"/>
            <w:sz w:val="24"/>
            <w:szCs w:val="24"/>
            <w:u w:val="single"/>
            <w:rtl w:val="0"/>
          </w:rPr>
          <w:t xml:space="preserve">https://medium.com/@vimalnegiatwork/building-a-conversational-document-processing-platform-with-llm-tools-2cd74847fc73</w:t>
        </w:r>
      </w:hyperlink>
      <w:r w:rsidDel="00000000" w:rsidR="00000000" w:rsidRPr="00000000">
        <w:rPr>
          <w:rtl w:val="0"/>
        </w:rPr>
      </w:r>
    </w:p>
    <w:p w:rsidR="00000000" w:rsidDel="00000000" w:rsidP="00000000" w:rsidRDefault="00000000" w:rsidRPr="00000000" w14:paraId="000000C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RAG? - Retrieval-Augmented Generation AI Explained - AWS, acceso: abril 25, 2026, </w:t>
      </w:r>
      <w:hyperlink r:id="rId36">
        <w:r w:rsidDel="00000000" w:rsidR="00000000" w:rsidRPr="00000000">
          <w:rPr>
            <w:rFonts w:ascii="Google Sans" w:cs="Google Sans" w:eastAsia="Google Sans" w:hAnsi="Google Sans"/>
            <w:color w:val="0000ee"/>
            <w:sz w:val="24"/>
            <w:szCs w:val="24"/>
            <w:u w:val="single"/>
            <w:rtl w:val="0"/>
          </w:rPr>
          <w:t xml:space="preserve">https://aws.amazon.com/what-is/retrieval-augmented-generation/</w:t>
        </w:r>
      </w:hyperlink>
      <w:r w:rsidDel="00000000" w:rsidR="00000000" w:rsidRPr="00000000">
        <w:rPr>
          <w:rtl w:val="0"/>
        </w:rPr>
      </w:r>
    </w:p>
    <w:p w:rsidR="00000000" w:rsidDel="00000000" w:rsidP="00000000" w:rsidRDefault="00000000" w:rsidRPr="00000000" w14:paraId="000000C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Large Language Model (LLM): Everything You Need to Know - WEKA, acceso: abril 25, 2026, </w:t>
      </w:r>
      <w:hyperlink r:id="rId37">
        <w:r w:rsidDel="00000000" w:rsidR="00000000" w:rsidRPr="00000000">
          <w:rPr>
            <w:rFonts w:ascii="Google Sans" w:cs="Google Sans" w:eastAsia="Google Sans" w:hAnsi="Google Sans"/>
            <w:color w:val="0000ee"/>
            <w:sz w:val="24"/>
            <w:szCs w:val="24"/>
            <w:u w:val="single"/>
            <w:rtl w:val="0"/>
          </w:rPr>
          <w:t xml:space="preserve">https://www.weka.io/learn/guide/ai-ml/what-is-llm/</w:t>
        </w:r>
      </w:hyperlink>
      <w:r w:rsidDel="00000000" w:rsidR="00000000" w:rsidRPr="00000000">
        <w:rPr>
          <w:rtl w:val="0"/>
        </w:rPr>
      </w:r>
    </w:p>
    <w:p w:rsidR="00000000" w:rsidDel="00000000" w:rsidP="00000000" w:rsidRDefault="00000000" w:rsidRPr="00000000" w14:paraId="000000C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Presentamos salidas estructuradas en la API - OpenAI, acceso: abril 25, 2026, </w:t>
      </w:r>
      <w:hyperlink r:id="rId38">
        <w:r w:rsidDel="00000000" w:rsidR="00000000" w:rsidRPr="00000000">
          <w:rPr>
            <w:rFonts w:ascii="Google Sans" w:cs="Google Sans" w:eastAsia="Google Sans" w:hAnsi="Google Sans"/>
            <w:color w:val="0000ee"/>
            <w:sz w:val="24"/>
            <w:szCs w:val="24"/>
            <w:u w:val="single"/>
            <w:rtl w:val="0"/>
          </w:rPr>
          <w:t xml:space="preserve">https://openai.com/es-419/index/introducing-structured-outputs-in-the-api/</w:t>
        </w:r>
      </w:hyperlink>
      <w:r w:rsidDel="00000000" w:rsidR="00000000" w:rsidRPr="00000000">
        <w:rPr>
          <w:rtl w:val="0"/>
        </w:rPr>
      </w:r>
    </w:p>
    <w:p w:rsidR="00000000" w:rsidDel="00000000" w:rsidP="00000000" w:rsidRDefault="00000000" w:rsidRPr="00000000" w14:paraId="000000C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 dynamic form from a JSON schema with Formik - JavaScript in Plain English, acceso: abril 25, 2026, </w:t>
      </w:r>
      <w:hyperlink r:id="rId39">
        <w:r w:rsidDel="00000000" w:rsidR="00000000" w:rsidRPr="00000000">
          <w:rPr>
            <w:rFonts w:ascii="Google Sans" w:cs="Google Sans" w:eastAsia="Google Sans" w:hAnsi="Google Sans"/>
            <w:color w:val="0000ee"/>
            <w:sz w:val="24"/>
            <w:szCs w:val="24"/>
            <w:u w:val="single"/>
            <w:rtl w:val="0"/>
          </w:rPr>
          <w:t xml:space="preserve">https://javascript.plainenglish.io/building-a-dynamic-form-from-a-json-schema-37f0e2543c3b</w:t>
        </w:r>
      </w:hyperlink>
      <w:r w:rsidDel="00000000" w:rsidR="00000000" w:rsidRPr="00000000">
        <w:rPr>
          <w:rtl w:val="0"/>
        </w:rPr>
      </w:r>
    </w:p>
    <w:p w:rsidR="00000000" w:rsidDel="00000000" w:rsidP="00000000" w:rsidRDefault="00000000" w:rsidRPr="00000000" w14:paraId="000000C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Manage2 Dashboard - cPanel &amp; WHM Documentation, acceso: abril 25, 2026, </w:t>
      </w:r>
      <w:hyperlink r:id="rId40">
        <w:r w:rsidDel="00000000" w:rsidR="00000000" w:rsidRPr="00000000">
          <w:rPr>
            <w:rFonts w:ascii="Google Sans" w:cs="Google Sans" w:eastAsia="Google Sans" w:hAnsi="Google Sans"/>
            <w:color w:val="0000ee"/>
            <w:sz w:val="24"/>
            <w:szCs w:val="24"/>
            <w:u w:val="single"/>
            <w:rtl w:val="0"/>
          </w:rPr>
          <w:t xml:space="preserve">https://docs.cpanel.net/manage2/admin/the-manage2-dashboard/</w:t>
        </w:r>
      </w:hyperlink>
      <w:r w:rsidDel="00000000" w:rsidR="00000000" w:rsidRPr="00000000">
        <w:rPr>
          <w:rtl w:val="0"/>
        </w:rPr>
      </w:r>
    </w:p>
    <w:p w:rsidR="00000000" w:rsidDel="00000000" w:rsidP="00000000" w:rsidRDefault="00000000" w:rsidRPr="00000000" w14:paraId="000000C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26 Most Powerful Dashboard Templates for Developers (2026) - AdminLTE, acceso: abril 25, 2026, </w:t>
      </w:r>
      <w:hyperlink r:id="rId41">
        <w:r w:rsidDel="00000000" w:rsidR="00000000" w:rsidRPr="00000000">
          <w:rPr>
            <w:rFonts w:ascii="Google Sans" w:cs="Google Sans" w:eastAsia="Google Sans" w:hAnsi="Google Sans"/>
            <w:color w:val="0000ee"/>
            <w:sz w:val="24"/>
            <w:szCs w:val="24"/>
            <w:u w:val="single"/>
            <w:rtl w:val="0"/>
          </w:rPr>
          <w:t xml:space="preserve">https://adminlte.io/blog/dashboard-templates/</w:t>
        </w:r>
      </w:hyperlink>
      <w:r w:rsidDel="00000000" w:rsidR="00000000" w:rsidRPr="00000000">
        <w:rPr>
          <w:rtl w:val="0"/>
        </w:rPr>
      </w:r>
    </w:p>
    <w:p w:rsidR="00000000" w:rsidDel="00000000" w:rsidP="00000000" w:rsidRDefault="00000000" w:rsidRPr="00000000" w14:paraId="000000C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Free React Tailwind Admin Dashboard Template, acceso: abril 25, 2026, </w:t>
      </w:r>
      <w:hyperlink r:id="rId42">
        <w:r w:rsidDel="00000000" w:rsidR="00000000" w:rsidRPr="00000000">
          <w:rPr>
            <w:rFonts w:ascii="Google Sans" w:cs="Google Sans" w:eastAsia="Google Sans" w:hAnsi="Google Sans"/>
            <w:color w:val="0000ee"/>
            <w:sz w:val="24"/>
            <w:szCs w:val="24"/>
            <w:u w:val="single"/>
            <w:rtl w:val="0"/>
          </w:rPr>
          <w:t xml:space="preserve">https://tailadmin.com/react</w:t>
        </w:r>
      </w:hyperlink>
      <w:r w:rsidDel="00000000" w:rsidR="00000000" w:rsidRPr="00000000">
        <w:rPr>
          <w:rtl w:val="0"/>
        </w:rPr>
      </w:r>
    </w:p>
    <w:p w:rsidR="00000000" w:rsidDel="00000000" w:rsidP="00000000" w:rsidRDefault="00000000" w:rsidRPr="00000000" w14:paraId="000000C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shadcn Dashboard Templates in 2026: 10 Options Compared - TheFrontKit, acceso: abril 25, 2026, </w:t>
      </w:r>
      <w:hyperlink r:id="rId43">
        <w:r w:rsidDel="00000000" w:rsidR="00000000" w:rsidRPr="00000000">
          <w:rPr>
            <w:rFonts w:ascii="Google Sans" w:cs="Google Sans" w:eastAsia="Google Sans" w:hAnsi="Google Sans"/>
            <w:color w:val="0000ee"/>
            <w:sz w:val="24"/>
            <w:szCs w:val="24"/>
            <w:u w:val="single"/>
            <w:rtl w:val="0"/>
          </w:rPr>
          <w:t xml:space="preserve">https://thefrontkit.com/blogs/best-shadcn-dashboard-templates-2026</w:t>
        </w:r>
      </w:hyperlink>
      <w:r w:rsidDel="00000000" w:rsidR="00000000" w:rsidRPr="00000000">
        <w:rPr>
          <w:rtl w:val="0"/>
        </w:rPr>
      </w:r>
    </w:p>
    <w:p w:rsidR="00000000" w:rsidDel="00000000" w:rsidP="00000000" w:rsidRDefault="00000000" w:rsidRPr="00000000" w14:paraId="000000C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Best Free React Admin Dashboard Templates for SaaS, acceso: abril 25, 2026, </w:t>
      </w:r>
      <w:hyperlink r:id="rId44">
        <w:r w:rsidDel="00000000" w:rsidR="00000000" w:rsidRPr="00000000">
          <w:rPr>
            <w:rFonts w:ascii="Google Sans" w:cs="Google Sans" w:eastAsia="Google Sans" w:hAnsi="Google Sans"/>
            <w:color w:val="0000ee"/>
            <w:sz w:val="24"/>
            <w:szCs w:val="24"/>
            <w:u w:val="single"/>
            <w:rtl w:val="0"/>
          </w:rPr>
          <w:t xml:space="preserve">https://tailwind-admin.com/blogs/react-admin-dashboard</w:t>
        </w:r>
      </w:hyperlink>
      <w:r w:rsidDel="00000000" w:rsidR="00000000" w:rsidRPr="00000000">
        <w:rPr>
          <w:rtl w:val="0"/>
        </w:rPr>
      </w:r>
    </w:p>
    <w:p w:rsidR="00000000" w:rsidDel="00000000" w:rsidP="00000000" w:rsidRDefault="00000000" w:rsidRPr="00000000" w14:paraId="000000C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Best React Data Grid Libraries for Data‑Driven Apps in 2026 | Syncfusion Blogs, acceso: abril 25, 2026, </w:t>
      </w:r>
      <w:hyperlink r:id="rId45">
        <w:r w:rsidDel="00000000" w:rsidR="00000000" w:rsidRPr="00000000">
          <w:rPr>
            <w:rFonts w:ascii="Google Sans" w:cs="Google Sans" w:eastAsia="Google Sans" w:hAnsi="Google Sans"/>
            <w:color w:val="0000ee"/>
            <w:sz w:val="24"/>
            <w:szCs w:val="24"/>
            <w:u w:val="single"/>
            <w:rtl w:val="0"/>
          </w:rPr>
          <w:t xml:space="preserve">https://www.syncfusion.com/blogs/post/top-react-data-grid-libraries</w:t>
        </w:r>
      </w:hyperlink>
      <w:r w:rsidDel="00000000" w:rsidR="00000000" w:rsidRPr="00000000">
        <w:rPr>
          <w:rtl w:val="0"/>
        </w:rPr>
      </w:r>
    </w:p>
    <w:p w:rsidR="00000000" w:rsidDel="00000000" w:rsidP="00000000" w:rsidRDefault="00000000" w:rsidRPr="00000000" w14:paraId="000000C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Admin Dashboard UI/UX: Best Practices for 2025 | by Carlos Smith | Medium, acceso: abril 25, 2026, </w:t>
      </w:r>
      <w:hyperlink r:id="rId46">
        <w:r w:rsidDel="00000000" w:rsidR="00000000" w:rsidRPr="00000000">
          <w:rPr>
            <w:rFonts w:ascii="Google Sans" w:cs="Google Sans" w:eastAsia="Google Sans" w:hAnsi="Google Sans"/>
            <w:color w:val="0000ee"/>
            <w:sz w:val="24"/>
            <w:szCs w:val="24"/>
            <w:u w:val="single"/>
            <w:rtl w:val="0"/>
          </w:rPr>
          <w:t xml:space="preserve">https://medium.com/@CarlosSmith24/admin-dashboard-ui-ux-best-practices-for-2025-8bdc6090c57d</w:t>
        </w:r>
      </w:hyperlink>
      <w:r w:rsidDel="00000000" w:rsidR="00000000" w:rsidRPr="00000000">
        <w:rPr>
          <w:rtl w:val="0"/>
        </w:rPr>
      </w:r>
    </w:p>
    <w:p w:rsidR="00000000" w:rsidDel="00000000" w:rsidP="00000000" w:rsidRDefault="00000000" w:rsidRPr="00000000" w14:paraId="000000D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Build (Good) Admin Dashboards || React &amp; TailwindCSS - YouTube, acceso: abril 25, 2026, </w:t>
      </w:r>
      <w:hyperlink r:id="rId47">
        <w:r w:rsidDel="00000000" w:rsidR="00000000" w:rsidRPr="00000000">
          <w:rPr>
            <w:rFonts w:ascii="Google Sans" w:cs="Google Sans" w:eastAsia="Google Sans" w:hAnsi="Google Sans"/>
            <w:color w:val="0000ee"/>
            <w:sz w:val="24"/>
            <w:szCs w:val="24"/>
            <w:u w:val="single"/>
            <w:rtl w:val="0"/>
          </w:rPr>
          <w:t xml:space="preserve">https://www.youtube.com/watch?v=vdxnBKRD7kU</w:t>
        </w:r>
      </w:hyperlink>
      <w:r w:rsidDel="00000000" w:rsidR="00000000" w:rsidRPr="00000000">
        <w:rPr>
          <w:rtl w:val="0"/>
        </w:rPr>
      </w:r>
    </w:p>
    <w:p w:rsidR="00000000" w:rsidDel="00000000" w:rsidP="00000000" w:rsidRDefault="00000000" w:rsidRPr="00000000" w14:paraId="000000D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28 Best React Admin Dashboard Templates (Free &amp; Premium) 2026 - AdminLTE, acceso: abril 25, 2026, </w:t>
      </w:r>
      <w:hyperlink r:id="rId48">
        <w:r w:rsidDel="00000000" w:rsidR="00000000" w:rsidRPr="00000000">
          <w:rPr>
            <w:rFonts w:ascii="Google Sans" w:cs="Google Sans" w:eastAsia="Google Sans" w:hAnsi="Google Sans"/>
            <w:color w:val="0000ee"/>
            <w:sz w:val="24"/>
            <w:szCs w:val="24"/>
            <w:u w:val="single"/>
            <w:rtl w:val="0"/>
          </w:rPr>
          <w:t xml:space="preserve">https://adminlte.io/blog/react-admin-dashboard-templates/</w:t>
        </w:r>
      </w:hyperlink>
      <w:r w:rsidDel="00000000" w:rsidR="00000000" w:rsidRPr="00000000">
        <w:rPr>
          <w:rtl w:val="0"/>
        </w:rPr>
      </w:r>
    </w:p>
    <w:p w:rsidR="00000000" w:rsidDel="00000000" w:rsidP="00000000" w:rsidRDefault="00000000" w:rsidRPr="00000000" w14:paraId="000000D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React Kanban Board | Task Workflow Management - Syncfusion, acceso: abril 25, 2026, </w:t>
      </w:r>
      <w:hyperlink r:id="rId49">
        <w:r w:rsidDel="00000000" w:rsidR="00000000" w:rsidRPr="00000000">
          <w:rPr>
            <w:rFonts w:ascii="Google Sans" w:cs="Google Sans" w:eastAsia="Google Sans" w:hAnsi="Google Sans"/>
            <w:color w:val="0000ee"/>
            <w:sz w:val="24"/>
            <w:szCs w:val="24"/>
            <w:u w:val="single"/>
            <w:rtl w:val="0"/>
          </w:rPr>
          <w:t xml:space="preserve">https://www.syncfusion.com/react-components/react-kanban-board</w:t>
        </w:r>
      </w:hyperlink>
      <w:r w:rsidDel="00000000" w:rsidR="00000000" w:rsidRPr="00000000">
        <w:rPr>
          <w:rtl w:val="0"/>
        </w:rPr>
      </w:r>
    </w:p>
    <w:p w:rsidR="00000000" w:rsidDel="00000000" w:rsidP="00000000" w:rsidRDefault="00000000" w:rsidRPr="00000000" w14:paraId="000000D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4 Kanban Metrics You Should Be Using Right Now | Atlassian, acceso: abril 25, 2026, </w:t>
      </w:r>
      <w:hyperlink r:id="rId50">
        <w:r w:rsidDel="00000000" w:rsidR="00000000" w:rsidRPr="00000000">
          <w:rPr>
            <w:rFonts w:ascii="Google Sans" w:cs="Google Sans" w:eastAsia="Google Sans" w:hAnsi="Google Sans"/>
            <w:color w:val="0000ee"/>
            <w:sz w:val="24"/>
            <w:szCs w:val="24"/>
            <w:u w:val="single"/>
            <w:rtl w:val="0"/>
          </w:rPr>
          <w:t xml:space="preserve">https://www.atlassian.com/agile/project-management/kanban-metrics</w:t>
        </w:r>
      </w:hyperlink>
      <w:r w:rsidDel="00000000" w:rsidR="00000000" w:rsidRPr="00000000">
        <w:rPr>
          <w:rtl w:val="0"/>
        </w:rPr>
      </w:r>
    </w:p>
    <w:p w:rsidR="00000000" w:rsidDel="00000000" w:rsidP="00000000" w:rsidRDefault="00000000" w:rsidRPr="00000000" w14:paraId="000000D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Las 15 métricas para help desk y service desk más importantes para medir el rendimiento, acceso: abril 25, 2026, </w:t>
      </w:r>
      <w:hyperlink r:id="rId51">
        <w:r w:rsidDel="00000000" w:rsidR="00000000" w:rsidRPr="00000000">
          <w:rPr>
            <w:rFonts w:ascii="Google Sans" w:cs="Google Sans" w:eastAsia="Google Sans" w:hAnsi="Google Sans"/>
            <w:color w:val="0000ee"/>
            <w:sz w:val="24"/>
            <w:szCs w:val="24"/>
            <w:u w:val="single"/>
            <w:rtl w:val="0"/>
          </w:rPr>
          <w:t xml:space="preserve">https://blog.invgate.com/es/metricas-para-help-desk-y-service-desk</w:t>
        </w:r>
      </w:hyperlink>
      <w:r w:rsidDel="00000000" w:rsidR="00000000" w:rsidRPr="00000000">
        <w:rPr>
          <w:rtl w:val="0"/>
        </w:rPr>
      </w:r>
    </w:p>
    <w:p w:rsidR="00000000" w:rsidDel="00000000" w:rsidP="00000000" w:rsidRDefault="00000000" w:rsidRPr="00000000" w14:paraId="000000D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React Libraries for Project Management Apps You Need to Know - DEV Community, acceso: abril 25, 2026, </w:t>
      </w:r>
      <w:hyperlink r:id="rId52">
        <w:r w:rsidDel="00000000" w:rsidR="00000000" w:rsidRPr="00000000">
          <w:rPr>
            <w:rFonts w:ascii="Google Sans" w:cs="Google Sans" w:eastAsia="Google Sans" w:hAnsi="Google Sans"/>
            <w:color w:val="0000ee"/>
            <w:sz w:val="24"/>
            <w:szCs w:val="24"/>
            <w:u w:val="single"/>
            <w:rtl w:val="0"/>
          </w:rPr>
          <w:t xml:space="preserve">https://dev.to/olga_tash/top-react-libraries-for-project-management-apps-you-need-to-know-5dg8</w:t>
        </w:r>
      </w:hyperlink>
      <w:r w:rsidDel="00000000" w:rsidR="00000000" w:rsidRPr="00000000">
        <w:rPr>
          <w:rtl w:val="0"/>
        </w:rPr>
      </w:r>
    </w:p>
    <w:p w:rsidR="00000000" w:rsidDel="00000000" w:rsidP="00000000" w:rsidRDefault="00000000" w:rsidRPr="00000000" w14:paraId="000000D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Structured Outputs: Making LLMs Reliable for Document Processing | by Nick Hagar, acceso: abril 25, 2026, </w:t>
      </w:r>
      <w:hyperlink r:id="rId53">
        <w:r w:rsidDel="00000000" w:rsidR="00000000" w:rsidRPr="00000000">
          <w:rPr>
            <w:rFonts w:ascii="Google Sans" w:cs="Google Sans" w:eastAsia="Google Sans" w:hAnsi="Google Sans"/>
            <w:color w:val="0000ee"/>
            <w:sz w:val="24"/>
            <w:szCs w:val="24"/>
            <w:u w:val="single"/>
            <w:rtl w:val="0"/>
          </w:rPr>
          <w:t xml:space="preserve">https://generative-ai-newsroom.com/structured-outputs-making-llms-reliable-for-document-processing-c3b6b2baed36</w:t>
        </w:r>
      </w:hyperlink>
      <w:r w:rsidDel="00000000" w:rsidR="00000000" w:rsidRPr="00000000">
        <w:rPr>
          <w:rtl w:val="0"/>
        </w:rPr>
      </w:r>
    </w:p>
    <w:p w:rsidR="00000000" w:rsidDel="00000000" w:rsidP="00000000" w:rsidRDefault="00000000" w:rsidRPr="00000000" w14:paraId="000000D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AI-Enhanced React Kanban | Smart UI for React - Smart HTML Elements, acceso: abril 25, 2026, </w:t>
      </w:r>
      <w:hyperlink r:id="rId54">
        <w:r w:rsidDel="00000000" w:rsidR="00000000" w:rsidRPr="00000000">
          <w:rPr>
            <w:rFonts w:ascii="Google Sans" w:cs="Google Sans" w:eastAsia="Google Sans" w:hAnsi="Google Sans"/>
            <w:color w:val="0000ee"/>
            <w:sz w:val="24"/>
            <w:szCs w:val="24"/>
            <w:u w:val="single"/>
            <w:rtl w:val="0"/>
          </w:rPr>
          <w:t xml:space="preserve">https://www.htmlelements.com/react/kanban/</w:t>
        </w:r>
      </w:hyperlink>
      <w:r w:rsidDel="00000000" w:rsidR="00000000" w:rsidRPr="00000000">
        <w:rPr>
          <w:rtl w:val="0"/>
        </w:rPr>
      </w:r>
    </w:p>
    <w:p w:rsidR="00000000" w:rsidDel="00000000" w:rsidP="00000000" w:rsidRDefault="00000000" w:rsidRPr="00000000" w14:paraId="000000D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7 IT service management metrics you need to measure | Freshservice blog - Freshworks, acceso: abril 25, 2026, </w:t>
      </w:r>
      <w:hyperlink r:id="rId55">
        <w:r w:rsidDel="00000000" w:rsidR="00000000" w:rsidRPr="00000000">
          <w:rPr>
            <w:rFonts w:ascii="Google Sans" w:cs="Google Sans" w:eastAsia="Google Sans" w:hAnsi="Google Sans"/>
            <w:color w:val="0000ee"/>
            <w:sz w:val="24"/>
            <w:szCs w:val="24"/>
            <w:u w:val="single"/>
            <w:rtl w:val="0"/>
          </w:rPr>
          <w:t xml:space="preserve">https://www.freshworks.com/explore-it/it-service-management-metrics-kpis/</w:t>
        </w:r>
      </w:hyperlink>
      <w:r w:rsidDel="00000000" w:rsidR="00000000" w:rsidRPr="00000000">
        <w:rPr>
          <w:rtl w:val="0"/>
        </w:rPr>
      </w:r>
    </w:p>
    <w:p w:rsidR="00000000" w:rsidDel="00000000" w:rsidP="00000000" w:rsidRDefault="00000000" w:rsidRPr="00000000" w14:paraId="000000D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Chile's New Data Protection Law: Context, Overview, and Key Takeaways, acceso: abril 25, 2026, </w:t>
      </w:r>
      <w:hyperlink r:id="rId56">
        <w:r w:rsidDel="00000000" w:rsidR="00000000" w:rsidRPr="00000000">
          <w:rPr>
            <w:rFonts w:ascii="Google Sans" w:cs="Google Sans" w:eastAsia="Google Sans" w:hAnsi="Google Sans"/>
            <w:color w:val="0000ee"/>
            <w:sz w:val="24"/>
            <w:szCs w:val="24"/>
            <w:u w:val="single"/>
            <w:rtl w:val="0"/>
          </w:rPr>
          <w:t xml:space="preserve">https://fpf.org/blog/chiles-new-data-protection-law-context-overview-and-key-takeaways/</w:t>
        </w:r>
      </w:hyperlink>
      <w:r w:rsidDel="00000000" w:rsidR="00000000" w:rsidRPr="00000000">
        <w:rPr>
          <w:rtl w:val="0"/>
        </w:rPr>
      </w:r>
    </w:p>
    <w:p w:rsidR="00000000" w:rsidDel="00000000" w:rsidP="00000000" w:rsidRDefault="00000000" w:rsidRPr="00000000" w14:paraId="000000D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protection and cybersecurity laws in Chile | CMS Expert Guide, acceso: abril 25, 2026, </w:t>
      </w:r>
      <w:hyperlink r:id="rId57">
        <w:r w:rsidDel="00000000" w:rsidR="00000000" w:rsidRPr="00000000">
          <w:rPr>
            <w:rFonts w:ascii="Google Sans" w:cs="Google Sans" w:eastAsia="Google Sans" w:hAnsi="Google Sans"/>
            <w:color w:val="0000ee"/>
            <w:sz w:val="24"/>
            <w:szCs w:val="24"/>
            <w:u w:val="single"/>
            <w:rtl w:val="0"/>
          </w:rPr>
          <w:t xml:space="preserve">https://cms.law/en/int/expert-guides/cms-expert-guide-to-data-protection-and-cyber-security-laws/chile</w:t>
        </w:r>
      </w:hyperlink>
      <w:r w:rsidDel="00000000" w:rsidR="00000000" w:rsidRPr="00000000">
        <w:rPr>
          <w:rtl w:val="0"/>
        </w:rPr>
      </w:r>
    </w:p>
    <w:p w:rsidR="00000000" w:rsidDel="00000000" w:rsidP="00000000" w:rsidRDefault="00000000" w:rsidRPr="00000000" w14:paraId="000000D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All about the new data protection regulation in Chile (Ley 21.719) - Didomi, acceso: abril 25, 2026, </w:t>
      </w:r>
      <w:hyperlink r:id="rId58">
        <w:r w:rsidDel="00000000" w:rsidR="00000000" w:rsidRPr="00000000">
          <w:rPr>
            <w:rFonts w:ascii="Google Sans" w:cs="Google Sans" w:eastAsia="Google Sans" w:hAnsi="Google Sans"/>
            <w:color w:val="0000ee"/>
            <w:sz w:val="24"/>
            <w:szCs w:val="24"/>
            <w:u w:val="single"/>
            <w:rtl w:val="0"/>
          </w:rPr>
          <w:t xml:space="preserve">https://www.didomi.io/regulations/chile</w:t>
        </w:r>
      </w:hyperlink>
      <w:r w:rsidDel="00000000" w:rsidR="00000000" w:rsidRPr="00000000">
        <w:rPr>
          <w:rtl w:val="0"/>
        </w:rPr>
      </w:r>
    </w:p>
    <w:p w:rsidR="00000000" w:rsidDel="00000000" w:rsidP="00000000" w:rsidRDefault="00000000" w:rsidRPr="00000000" w14:paraId="000000D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protection laws in Chile, acceso: abril 25, 2026, </w:t>
      </w:r>
      <w:hyperlink r:id="rId59">
        <w:r w:rsidDel="00000000" w:rsidR="00000000" w:rsidRPr="00000000">
          <w:rPr>
            <w:rFonts w:ascii="Google Sans" w:cs="Google Sans" w:eastAsia="Google Sans" w:hAnsi="Google Sans"/>
            <w:color w:val="0000ee"/>
            <w:sz w:val="24"/>
            <w:szCs w:val="24"/>
            <w:u w:val="single"/>
            <w:rtl w:val="0"/>
          </w:rPr>
          <w:t xml:space="preserve">https://www.dlapiperdataprotection.com/index.html?t=law&amp;c=CL</w:t>
        </w:r>
      </w:hyperlink>
      <w:r w:rsidDel="00000000" w:rsidR="00000000" w:rsidRPr="00000000">
        <w:rPr>
          <w:rtl w:val="0"/>
        </w:rPr>
      </w:r>
    </w:p>
    <w:p w:rsidR="00000000" w:rsidDel="00000000" w:rsidP="00000000" w:rsidRDefault="00000000" w:rsidRPr="00000000" w14:paraId="000000D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Ley Chile - Ley 21719 - Biblioteca del Congreso Nacional de Chile - BCN, acceso: abril 25, 2026, </w:t>
      </w:r>
      <w:hyperlink r:id="rId60">
        <w:r w:rsidDel="00000000" w:rsidR="00000000" w:rsidRPr="00000000">
          <w:rPr>
            <w:rFonts w:ascii="Google Sans" w:cs="Google Sans" w:eastAsia="Google Sans" w:hAnsi="Google Sans"/>
            <w:color w:val="0000ee"/>
            <w:sz w:val="24"/>
            <w:szCs w:val="24"/>
            <w:u w:val="single"/>
            <w:rtl w:val="0"/>
          </w:rPr>
          <w:t xml:space="preserve">https://www.bcn.cl/leychile/navegar?idNorma=1209272</w:t>
        </w:r>
      </w:hyperlink>
      <w:r w:rsidDel="00000000" w:rsidR="00000000" w:rsidRPr="00000000">
        <w:rPr>
          <w:rtl w:val="0"/>
        </w:rPr>
      </w:r>
    </w:p>
    <w:p w:rsidR="00000000" w:rsidDel="00000000" w:rsidP="00000000" w:rsidRDefault="00000000" w:rsidRPr="00000000" w14:paraId="000000D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Architecture Design: An Ephemeral, Zero-Friction PWA with AWS Serverless | by Riccardo Marostica | Apr, 2026 | Medium, acceso: abril 25, 2026, </w:t>
      </w:r>
      <w:hyperlink r:id="rId61">
        <w:r w:rsidDel="00000000" w:rsidR="00000000" w:rsidRPr="00000000">
          <w:rPr>
            <w:rFonts w:ascii="Google Sans" w:cs="Google Sans" w:eastAsia="Google Sans" w:hAnsi="Google Sans"/>
            <w:color w:val="0000ee"/>
            <w:sz w:val="24"/>
            <w:szCs w:val="24"/>
            <w:u w:val="single"/>
            <w:rtl w:val="0"/>
          </w:rPr>
          <w:t xml:space="preserve">https://medium.com/@riccardomarostica/architecture-design-an-ephemeral-zero-friction-pwa-with-aws-serverless-6b4db7cf9899</w:t>
        </w:r>
      </w:hyperlink>
      <w:r w:rsidDel="00000000" w:rsidR="00000000" w:rsidRPr="00000000">
        <w:rPr>
          <w:rtl w:val="0"/>
        </w:rPr>
      </w:r>
    </w:p>
    <w:p w:rsidR="00000000" w:rsidDel="00000000" w:rsidP="00000000" w:rsidRDefault="00000000" w:rsidRPr="00000000" w14:paraId="000000D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Leyes - Agencia Nacional de Ciberseguridad, acceso: abril 25, 2026, </w:t>
      </w:r>
      <w:hyperlink r:id="rId62">
        <w:r w:rsidDel="00000000" w:rsidR="00000000" w:rsidRPr="00000000">
          <w:rPr>
            <w:rFonts w:ascii="Google Sans" w:cs="Google Sans" w:eastAsia="Google Sans" w:hAnsi="Google Sans"/>
            <w:color w:val="0000ee"/>
            <w:sz w:val="24"/>
            <w:szCs w:val="24"/>
            <w:u w:val="single"/>
            <w:rtl w:val="0"/>
          </w:rPr>
          <w:t xml:space="preserve">https://anci.gob.cl/normativa/leyes/</w:t>
        </w:r>
      </w:hyperlink>
      <w:r w:rsidDel="00000000" w:rsidR="00000000" w:rsidRPr="00000000">
        <w:rPr>
          <w:rtl w:val="0"/>
        </w:rPr>
      </w:r>
    </w:p>
    <w:p w:rsidR="00000000" w:rsidDel="00000000" w:rsidP="00000000" w:rsidRDefault="00000000" w:rsidRPr="00000000" w14:paraId="000000E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Implementing Chile's Cybersecurity Framework Law 21.663 — Leveraging BigID for Compliance and Risk Management, acceso: abril 25, 2026, </w:t>
      </w:r>
      <w:hyperlink r:id="rId63">
        <w:r w:rsidDel="00000000" w:rsidR="00000000" w:rsidRPr="00000000">
          <w:rPr>
            <w:rFonts w:ascii="Google Sans" w:cs="Google Sans" w:eastAsia="Google Sans" w:hAnsi="Google Sans"/>
            <w:color w:val="0000ee"/>
            <w:sz w:val="24"/>
            <w:szCs w:val="24"/>
            <w:u w:val="single"/>
            <w:rtl w:val="0"/>
          </w:rPr>
          <w:t xml:space="preserve">https://bigid.com/blog/implementing-chile-cybersecurity-framework-law-21-663-with-bigid/</w:t>
        </w:r>
      </w:hyperlink>
      <w:r w:rsidDel="00000000" w:rsidR="00000000" w:rsidRPr="00000000">
        <w:rPr>
          <w:rtl w:val="0"/>
        </w:rPr>
      </w:r>
    </w:p>
    <w:p w:rsidR="00000000" w:rsidDel="00000000" w:rsidP="00000000" w:rsidRDefault="00000000" w:rsidRPr="00000000" w14:paraId="000000E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acceso: abril 25, 2026, </w:t>
      </w:r>
      <w:hyperlink r:id="rId64">
        <w:r w:rsidDel="00000000" w:rsidR="00000000" w:rsidRPr="00000000">
          <w:rPr>
            <w:rFonts w:ascii="Google Sans" w:cs="Google Sans" w:eastAsia="Google Sans" w:hAnsi="Google Sans"/>
            <w:color w:val="0000ee"/>
            <w:sz w:val="24"/>
            <w:szCs w:val="24"/>
            <w:u w:val="single"/>
            <w:rtl w:val="0"/>
          </w:rPr>
          <w:t xml:space="preserve">https://www.amsoft.cl/ley-21719-adecuacion-tecnologica-proteccion-datos/#:~:text=La%20Ley%2021.719%20establece%20requisitos,haber%20tenido%20constancia%20de%20ella.</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cpanel.net/manage2/admin/the-manage2-dashboard/" TargetMode="External"/><Relationship Id="rId42" Type="http://schemas.openxmlformats.org/officeDocument/2006/relationships/hyperlink" Target="https://tailadmin.com/react" TargetMode="External"/><Relationship Id="rId41" Type="http://schemas.openxmlformats.org/officeDocument/2006/relationships/hyperlink" Target="https://adminlte.io/blog/dashboard-templates/" TargetMode="External"/><Relationship Id="rId44" Type="http://schemas.openxmlformats.org/officeDocument/2006/relationships/hyperlink" Target="https://tailwind-admin.com/blogs/react-admin-dashboard" TargetMode="External"/><Relationship Id="rId43" Type="http://schemas.openxmlformats.org/officeDocument/2006/relationships/hyperlink" Target="https://thefrontkit.com/blogs/best-shadcn-dashboard-templates-2026" TargetMode="External"/><Relationship Id="rId46" Type="http://schemas.openxmlformats.org/officeDocument/2006/relationships/hyperlink" Target="https://medium.com/@CarlosSmith24/admin-dashboard-ui-ux-best-practices-for-2025-8bdc6090c57d" TargetMode="External"/><Relationship Id="rId45" Type="http://schemas.openxmlformats.org/officeDocument/2006/relationships/hyperlink" Target="https://www.syncfusion.com/blogs/post/top-react-data-grid-librari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trs.com/blog/itsm/itsm-metrics/" TargetMode="External"/><Relationship Id="rId48" Type="http://schemas.openxmlformats.org/officeDocument/2006/relationships/hyperlink" Target="https://adminlte.io/blog/react-admin-dashboard-templates/" TargetMode="External"/><Relationship Id="rId47" Type="http://schemas.openxmlformats.org/officeDocument/2006/relationships/hyperlink" Target="https://www.youtube.com/watch?v=vdxnBKRD7kU" TargetMode="External"/><Relationship Id="rId49" Type="http://schemas.openxmlformats.org/officeDocument/2006/relationships/hyperlink" Target="https://www.syncfusion.com/react-components/react-kanban-board" TargetMode="External"/><Relationship Id="rId5" Type="http://schemas.openxmlformats.org/officeDocument/2006/relationships/styles" Target="styles.xml"/><Relationship Id="rId6" Type="http://schemas.openxmlformats.org/officeDocument/2006/relationships/hyperlink" Target="https://www.serviceaide.com/es/resources/blog/top-itsm-capabilities" TargetMode="External"/><Relationship Id="rId7" Type="http://schemas.openxmlformats.org/officeDocument/2006/relationships/hyperlink" Target="https://www.zendesk.com/blog/itsm-metrics/" TargetMode="External"/><Relationship Id="rId8" Type="http://schemas.openxmlformats.org/officeDocument/2006/relationships/hyperlink" Target="https://invgate.com/es/itsm/service-level-management/service-level-agreement" TargetMode="External"/><Relationship Id="rId31" Type="http://schemas.openxmlformats.org/officeDocument/2006/relationships/hyperlink" Target="https://tetrate.io/learn/ai/llm-output-parsing-structured-generation" TargetMode="External"/><Relationship Id="rId30" Type="http://schemas.openxmlformats.org/officeDocument/2006/relationships/hyperlink" Target="https://medium.com/@damodharanjay/llm-based-structured-generation-using-jsonschema-139568c4f7c9" TargetMode="External"/><Relationship Id="rId33" Type="http://schemas.openxmlformats.org/officeDocument/2006/relationships/hyperlink" Target="https://wyeworks.com/blog/2025/08/01/ai-conversations-that-replace-forms/" TargetMode="External"/><Relationship Id="rId32" Type="http://schemas.openxmlformats.org/officeDocument/2006/relationships/hyperlink" Target="https://medium.com/@michael.hannecke/beyond-json-picking-the-right-format-for-llm-pipelines-b65f15f77f7d" TargetMode="External"/><Relationship Id="rId35" Type="http://schemas.openxmlformats.org/officeDocument/2006/relationships/hyperlink" Target="https://medium.com/@vimalnegiatwork/building-a-conversational-document-processing-platform-with-llm-tools-2cd74847fc73" TargetMode="External"/><Relationship Id="rId34" Type="http://schemas.openxmlformats.org/officeDocument/2006/relationships/hyperlink" Target="https://medium.com/@mbonsign/learning-dynamic-context-management-in-llms-through-human-in-the-loop-curation-a-proposed-0029a4e9d06e" TargetMode="External"/><Relationship Id="rId37" Type="http://schemas.openxmlformats.org/officeDocument/2006/relationships/hyperlink" Target="https://www.weka.io/learn/guide/ai-ml/what-is-llm/" TargetMode="External"/><Relationship Id="rId36" Type="http://schemas.openxmlformats.org/officeDocument/2006/relationships/hyperlink" Target="https://aws.amazon.com/what-is/retrieval-augmented-generation/" TargetMode="External"/><Relationship Id="rId39" Type="http://schemas.openxmlformats.org/officeDocument/2006/relationships/hyperlink" Target="https://javascript.plainenglish.io/building-a-dynamic-form-from-a-json-schema-37f0e2543c3b" TargetMode="External"/><Relationship Id="rId38" Type="http://schemas.openxmlformats.org/officeDocument/2006/relationships/hyperlink" Target="https://openai.com/es-419/index/introducing-structured-outputs-in-the-api/" TargetMode="External"/><Relationship Id="rId62" Type="http://schemas.openxmlformats.org/officeDocument/2006/relationships/hyperlink" Target="https://anci.gob.cl/normativa/leyes/" TargetMode="External"/><Relationship Id="rId61" Type="http://schemas.openxmlformats.org/officeDocument/2006/relationships/hyperlink" Target="https://medium.com/@riccardomarostica/architecture-design-an-ephemeral-zero-friction-pwa-with-aws-serverless-6b4db7cf9899" TargetMode="External"/><Relationship Id="rId20" Type="http://schemas.openxmlformats.org/officeDocument/2006/relationships/hyperlink" Target="https://www.zignuts.com/blog/pwa-2-0-edge-runtime-full-stack-2026" TargetMode="External"/><Relationship Id="rId64" Type="http://schemas.openxmlformats.org/officeDocument/2006/relationships/hyperlink" Target="https://www.amsoft.cl/ley-21719-adecuacion-tecnologica-proteccion-datos/#:~:text=La%20Ley%2021.719%20establece%20requisitos,haber%20tenido%20constancia%20de%20ella." TargetMode="External"/><Relationship Id="rId63" Type="http://schemas.openxmlformats.org/officeDocument/2006/relationships/hyperlink" Target="https://bigid.com/blog/implementing-chile-cybersecurity-framework-law-21-663-with-bigid/" TargetMode="External"/><Relationship Id="rId22" Type="http://schemas.openxmlformats.org/officeDocument/2006/relationships/hyperlink" Target="https://www.geeksforgeeks.org/blogs/progressive-web-app-development-frameworks/" TargetMode="External"/><Relationship Id="rId21" Type="http://schemas.openxmlformats.org/officeDocument/2006/relationships/hyperlink" Target="https://lollypop.design/blog/2025/september/progressive-web-app-ux-tips-2025/" TargetMode="External"/><Relationship Id="rId24" Type="http://schemas.openxmlformats.org/officeDocument/2006/relationships/hyperlink" Target="https://beanstalkwebsolutions.com/blog/fastest-web-development-frameworks/" TargetMode="External"/><Relationship Id="rId23" Type="http://schemas.openxmlformats.org/officeDocument/2006/relationships/hyperlink" Target="https://devot.team/blog/react-vite" TargetMode="External"/><Relationship Id="rId60" Type="http://schemas.openxmlformats.org/officeDocument/2006/relationships/hyperlink" Target="https://www.bcn.cl/leychile/navegar?idNorma=1209272" TargetMode="External"/><Relationship Id="rId26" Type="http://schemas.openxmlformats.org/officeDocument/2006/relationships/hyperlink" Target="https://web.dev/learn/pwa/offline-data" TargetMode="External"/><Relationship Id="rId25" Type="http://schemas.openxmlformats.org/officeDocument/2006/relationships/hyperlink" Target="https://adminlte.io/blog/tailwind-css-admin-and-dashboard-templates/" TargetMode="External"/><Relationship Id="rId28" Type="http://schemas.openxmlformats.org/officeDocument/2006/relationships/hyperlink" Target="https://www.digitalapplied.com/blog/progressive-web-apps-2026-complete-development-guide" TargetMode="External"/><Relationship Id="rId27" Type="http://schemas.openxmlformats.org/officeDocument/2006/relationships/hyperlink" Target="https://developer.mozilla.org/en-US/docs/Web/Progressive_web_apps/Guides/Offline_and_background_operation" TargetMode="External"/><Relationship Id="rId29" Type="http://schemas.openxmlformats.org/officeDocument/2006/relationships/hyperlink" Target="https://medium.com/@ancilartech/building-real-progressive-web-apps-in-2025-lessons-from-the-trenches-23422e1970d6" TargetMode="External"/><Relationship Id="rId51" Type="http://schemas.openxmlformats.org/officeDocument/2006/relationships/hyperlink" Target="https://blog.invgate.com/es/metricas-para-help-desk-y-service-desk" TargetMode="External"/><Relationship Id="rId50" Type="http://schemas.openxmlformats.org/officeDocument/2006/relationships/hyperlink" Target="https://www.atlassian.com/agile/project-management/kanban-metrics" TargetMode="External"/><Relationship Id="rId53" Type="http://schemas.openxmlformats.org/officeDocument/2006/relationships/hyperlink" Target="https://generative-ai-newsroom.com/structured-outputs-making-llms-reliable-for-document-processing-c3b6b2baed36" TargetMode="External"/><Relationship Id="rId52" Type="http://schemas.openxmlformats.org/officeDocument/2006/relationships/hyperlink" Target="https://dev.to/olga_tash/top-react-libraries-for-project-management-apps-you-need-to-know-5dg8" TargetMode="External"/><Relationship Id="rId11" Type="http://schemas.openxmlformats.org/officeDocument/2006/relationships/hyperlink" Target="https://www.serviceaide.com/es/resources/blog/itsm-dashboard" TargetMode="External"/><Relationship Id="rId55" Type="http://schemas.openxmlformats.org/officeDocument/2006/relationships/hyperlink" Target="https://www.freshworks.com/explore-it/it-service-management-metrics-kpis/" TargetMode="External"/><Relationship Id="rId10" Type="http://schemas.openxmlformats.org/officeDocument/2006/relationships/hyperlink" Target="https://infraon.io/blog/service-request-management-best-practices/" TargetMode="External"/><Relationship Id="rId54" Type="http://schemas.openxmlformats.org/officeDocument/2006/relationships/hyperlink" Target="https://www.htmlelements.com/react/kanban/" TargetMode="External"/><Relationship Id="rId13" Type="http://schemas.openxmlformats.org/officeDocument/2006/relationships/hyperlink" Target="https://www.freshworks.com/itsm/service-request-management/" TargetMode="External"/><Relationship Id="rId57" Type="http://schemas.openxmlformats.org/officeDocument/2006/relationships/hyperlink" Target="https://cms.law/en/int/expert-guides/cms-expert-guide-to-data-protection-and-cyber-security-laws/chile" TargetMode="External"/><Relationship Id="rId12" Type="http://schemas.openxmlformats.org/officeDocument/2006/relationships/hyperlink" Target="https://www.tempo.io/blog/jsm-charts-for-itsm-dashboards" TargetMode="External"/><Relationship Id="rId56" Type="http://schemas.openxmlformats.org/officeDocument/2006/relationships/hyperlink" Target="https://fpf.org/blog/chiles-new-data-protection-law-context-overview-and-key-takeaways/" TargetMode="External"/><Relationship Id="rId15" Type="http://schemas.openxmlformats.org/officeDocument/2006/relationships/hyperlink" Target="https://apmg-international.com/es/article/que-es-la-gestion-de-servicios-de-ti-itsm" TargetMode="External"/><Relationship Id="rId59" Type="http://schemas.openxmlformats.org/officeDocument/2006/relationships/hyperlink" Target="https://www.dlapiperdataprotection.com/index.html?t=law&amp;c=CL" TargetMode="External"/><Relationship Id="rId14" Type="http://schemas.openxmlformats.org/officeDocument/2006/relationships/hyperlink" Target="https://www.engineerica.com/academic-centers/post/workflow-for-higher-education/" TargetMode="External"/><Relationship Id="rId58" Type="http://schemas.openxmlformats.org/officeDocument/2006/relationships/hyperlink" Target="https://www.didomi.io/regulations/chile" TargetMode="External"/><Relationship Id="rId17" Type="http://schemas.openxmlformats.org/officeDocument/2006/relationships/hyperlink" Target="https://surveyjs.io/stay-updated/blog/dynamically-create-forms-from-json-schema" TargetMode="External"/><Relationship Id="rId16" Type="http://schemas.openxmlformats.org/officeDocument/2006/relationships/hyperlink" Target="https://www.splashtop.com/es/blog/itsm" TargetMode="External"/><Relationship Id="rId19" Type="http://schemas.openxmlformats.org/officeDocument/2006/relationships/hyperlink" Target="https://www.freshworks.com/itsm/best-practices/" TargetMode="External"/><Relationship Id="rId18" Type="http://schemas.openxmlformats.org/officeDocument/2006/relationships/hyperlink" Target="https://www.ibm.com/mx-es/think/topics/sla-metric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